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河北省工艺美术大师示范工作室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评分细则</w:t>
      </w:r>
    </w:p>
    <w:p>
      <w:pPr>
        <w:ind w:firstLine="723" w:firstLineChars="300"/>
        <w:jc w:val="lef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姓名：</w:t>
      </w:r>
    </w:p>
    <w:tbl>
      <w:tblPr>
        <w:tblStyle w:val="4"/>
        <w:tblpPr w:leftFromText="180" w:rightFromText="180" w:vertAnchor="text" w:horzAnchor="page" w:tblpX="1878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4253"/>
        <w:gridCol w:w="89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评分内容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总分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评分标准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获得国大师时间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获得国大师后，每增加1年，加1分，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最高5分。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获得专业技术职称、职业技能等级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获得正高级技术职称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得5分；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获得副高级技术职称，含高级技师技能等级得4分；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获得中级技术职称、技师技能等级，得2分；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按最高分计分，分数不累计。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技艺传承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有培养徒弟的，获得基础分6分；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培养的徒弟获得省级以上工艺美术大师，或高级技术职称，或省级以上非遗传承人，每增加一名加2分，最高加6分。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知识产权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获得专利、获得基础分2分。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每增加一项专利加1分，增加一项版（著作）权加0.5分，最高加分为2分。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荣誉称号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获得国家级荣誉称号（全国劳动模范、“五一”劳动奖章、“三八”红旗手、享受国务院津贴、非遗传承人、大国工匠、技术能手、全国人大代表、全国政协委员等）得5分；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获得省级级荣誉称号（劳动模范、“三八”红旗手、省突出贡献专家、大工匠、省级非遗传承人、省人大代表、省政协委员等）得2分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按最高分计分，分数不累计。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传承创新工作室（含传承、创新基地）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获得国家级传承创新工作室得12分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获得省级传承创新工作室得8分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获得地市级传承创新工作室得6分。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按最高分计分，分数不累计。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专著论文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ind w:right="132" w:rightChars="6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出版过专著（有书号）或在省级以上专业刊物（有刊号）上发表过论文，获得基础分3分；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每多出版一本专著加1分，每多发表一篇论文，加0.5分，最高加分为2分。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社会公益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参加过贫困救助、慈善捐赠和助学助教等任一项活动，获得基础分5分；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捐款50万以上，每增加10万加1分；最高加分为3分。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作品收藏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作品被国家级专业博物馆、艺术馆收藏，得4分；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作品被省（市）级以上专业博物馆、艺术馆收藏，得3分；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按最高分计分，分数不累计。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作品获奖情况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作品获国家级工艺美术专项展赛金、银、铜奖，分获得4/3/2分；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获省级工艺美术专业一等奖获1分；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按奖项数量，分数可累计，同一作品不重复计分，最高10分。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社会任职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253" w:type="dxa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担任国家级社团常务理事以上，基础分3分；担任省级社团副会长以上，得2分，以上分数不累计；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产业发展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有近三年正常经营，基础分10分；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/>
          <w:p/>
          <w:p/>
          <w:p/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2018年后，三年内产值500万元，得5分；每增加1000万元，加1分，最高加分3分；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产品出口100万元以上的，基础分2分；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纳税100万元以上的，基础分2分；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就业人数10人以上，得3分，每增加10人加1分，最高加2分；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带动京津冀一体化协调发展，促进三地产业互动融合，得12分；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宋体" w:hAnsi="宋体"/>
                <w:sz w:val="28"/>
                <w:szCs w:val="28"/>
              </w:rPr>
              <w:t>分数累计，最高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宋体" w:hAnsi="宋体"/>
                <w:sz w:val="28"/>
                <w:szCs w:val="28"/>
              </w:rPr>
              <w:t>27分。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合计分数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51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F247A07"/>
    <w:rsid w:val="1F247A0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 w:eastAsia="宋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2022-11-04T03:02:00Z</dcterms:created>
  <dc:creator>薛尤嘉</dc:creator>
  <cp:lastModifiedBy>薛尤嘉</cp:lastModifiedBy>
  <dcterms:modified xsi:type="dcterms:W3CDTF">2022-11-04T03:02:38Z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5CB8301C307648DFA41CDB876CB491A2</vt:lpwstr>
  </property>
</Properties>
</file>