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right="640"/>
        <w:jc w:val="both"/>
        <w:rPr>
          <w:rFonts w:hint="eastAsia" w:ascii="黑体" w:hAnsi="黑体" w:eastAsia="黑体" w:cs="黑体"/>
          <w:color w:val="070707"/>
          <w:kern w:val="0"/>
          <w:sz w:val="32"/>
          <w:szCs w:val="32"/>
          <w:lang w:val="en-US" w:eastAsia="zh-CN"/>
        </w:rPr>
      </w:pPr>
      <w:r>
        <w:rPr>
          <w:rFonts w:hint="eastAsia" w:ascii="黑体" w:hAnsi="黑体" w:eastAsia="黑体" w:cs="黑体"/>
          <w:color w:val="070707"/>
          <w:kern w:val="0"/>
          <w:sz w:val="32"/>
          <w:szCs w:val="32"/>
          <w:lang w:val="en-US" w:eastAsia="zh-CN"/>
        </w:rPr>
        <w:t>附件2</w:t>
      </w:r>
    </w:p>
    <w:p>
      <w:pPr>
        <w:widowControl/>
        <w:spacing w:line="600" w:lineRule="exact"/>
        <w:ind w:right="640"/>
        <w:jc w:val="both"/>
        <w:rPr>
          <w:rFonts w:hint="default" w:ascii="Times New Roman" w:hAnsi="Times New Roman" w:eastAsia="仿宋" w:cs="Times New Roman"/>
          <w:color w:val="070707"/>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方正大标宋_GBK" w:hAnsi="方正大标宋_GBK" w:eastAsia="方正大标宋_GBK" w:cs="方正大标宋_GBK"/>
          <w:b w:val="0"/>
          <w:bCs/>
          <w:i w:val="0"/>
          <w:caps w:val="0"/>
          <w:color w:val="000000"/>
          <w:spacing w:val="0"/>
          <w:kern w:val="0"/>
          <w:sz w:val="44"/>
          <w:szCs w:val="44"/>
          <w:lang w:val="en-US" w:eastAsia="zh-CN" w:bidi="ar"/>
        </w:rPr>
      </w:pPr>
      <w:r>
        <w:rPr>
          <w:rFonts w:hint="eastAsia" w:ascii="方正大标宋_GBK" w:hAnsi="方正大标宋_GBK" w:eastAsia="方正大标宋_GBK" w:cs="方正大标宋_GBK"/>
          <w:b w:val="0"/>
          <w:bCs/>
          <w:i w:val="0"/>
          <w:caps w:val="0"/>
          <w:color w:val="000000"/>
          <w:spacing w:val="0"/>
          <w:kern w:val="0"/>
          <w:sz w:val="44"/>
          <w:szCs w:val="44"/>
          <w:lang w:val="en-US" w:eastAsia="zh-CN" w:bidi="ar"/>
        </w:rPr>
        <w:t>工业和信息化部办公厅关于开展中小企业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方正大标宋_GBK" w:hAnsi="方正大标宋_GBK" w:eastAsia="方正大标宋_GBK" w:cs="方正大标宋_GBK"/>
          <w:bCs/>
          <w:i w:val="0"/>
          <w:caps w:val="0"/>
          <w:color w:val="000000"/>
          <w:spacing w:val="0"/>
          <w:sz w:val="18"/>
          <w:szCs w:val="18"/>
        </w:rPr>
      </w:pPr>
      <w:r>
        <w:rPr>
          <w:rFonts w:hint="eastAsia" w:ascii="方正大标宋_GBK" w:hAnsi="方正大标宋_GBK" w:eastAsia="方正大标宋_GBK" w:cs="方正大标宋_GBK"/>
          <w:b w:val="0"/>
          <w:bCs/>
          <w:i w:val="0"/>
          <w:caps w:val="0"/>
          <w:color w:val="000000"/>
          <w:spacing w:val="0"/>
          <w:kern w:val="0"/>
          <w:sz w:val="44"/>
          <w:szCs w:val="44"/>
          <w:lang w:val="en-US" w:eastAsia="zh-CN" w:bidi="ar"/>
        </w:rPr>
        <w:t>数字化服务节活动的通知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0"/>
        <w:jc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仿宋" w:cs="Times New Roman"/>
          <w:i w:val="0"/>
          <w:caps w:val="0"/>
          <w:color w:val="070707"/>
          <w:spacing w:val="0"/>
          <w:kern w:val="0"/>
          <w:sz w:val="32"/>
          <w:szCs w:val="32"/>
          <w:lang w:val="en-US" w:eastAsia="zh-CN" w:bidi="ar"/>
        </w:rPr>
        <w:t>工信厅企业函〔2022〕215号</w:t>
      </w:r>
      <w:r>
        <w:rPr>
          <w:rFonts w:hint="default" w:ascii="Times New Roman" w:hAnsi="Times New Roman" w:eastAsia="宋体" w:cs="Times New Roman"/>
          <w:i w:val="0"/>
          <w:caps w:val="0"/>
          <w:color w:val="070707"/>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0"/>
        <w:jc w:val="both"/>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aps w:val="0"/>
          <w:color w:val="000000"/>
          <w:spacing w:val="0"/>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各省、自治区、直辖市及计划单列市、新疆生产建设兵团中小企业主管部门：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42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为深入推进中小企业数字化赋能专项行动，定于2022年8月28日至9月28日举办“全国中小企业数字化服务节”活动（以下简称服务节活动）。有关事项通知如下：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420"/>
        <w:jc w:val="both"/>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70707"/>
          <w:spacing w:val="0"/>
          <w:kern w:val="0"/>
          <w:sz w:val="32"/>
          <w:szCs w:val="32"/>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42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以习近平新时代中国特色社会主义思想为指导，坚持有为政府和有效市场相结合，聚焦中小企业数字化转型“不愿转”“不会转”“不敢转”“不能转”等痛点难点堵点问题，着力从供给和应用双向发力，以发布《关于开展财政支持中小企业数字化转型试点工作的通知》为契机，加强政策引导和经验推广，充分调动数字化服务机构和中小企业积极性，提供更有针对性、实用性、普惠性的数字化服务，通过加大优质服务供给，提炼共性解决方案，打造转型样板等方式引导广大中小企业加快数字化转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70707"/>
          <w:spacing w:val="0"/>
          <w:kern w:val="0"/>
          <w:sz w:val="32"/>
          <w:szCs w:val="32"/>
          <w:lang w:val="en-US" w:eastAsia="zh-CN" w:bidi="ar"/>
        </w:rPr>
        <w:t>二、活动主题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数字赋能，创新发展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70707"/>
          <w:spacing w:val="0"/>
          <w:kern w:val="0"/>
          <w:sz w:val="32"/>
          <w:szCs w:val="32"/>
          <w:lang w:val="en-US" w:eastAsia="zh-CN" w:bidi="ar"/>
        </w:rPr>
        <w:t>三、活动内容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（一）技术赋能。针对中小企业数字化转型的典型场景和通用需求，集中为中小企业提供便利化的产品和解决方案；组织开展技术培训、答疑活动，为中小企业数字化转型提供咨询服务。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（二）经验赋能。开展数字化转型诊断服务，对中小企业数字化水平进行科学评估并提供解决方案；推动数字化转型示范企业积极展示和分享自身转型经验和成效。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（三）渠道赋能。以平台赋能促进数字经济与实体经济的融合发展，推动平台型企业利用渠道优势，为中小企业提供产品与服务推介渠道，助力拓展市场。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（四）资本赋能。结合中小企业数字化融资需求，联合金融机构推出数字化产品转型专项融资服务，给予更大力度的融资支持。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42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服务节活动期间，中国工业互联网研究院将开辟网上专区（http://www.828b2b.com/）汇总服务机构活动。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70707"/>
          <w:spacing w:val="0"/>
          <w:kern w:val="0"/>
          <w:sz w:val="32"/>
          <w:szCs w:val="32"/>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（一）加强统筹协调。各级中小企业主管部门要协调推动本地区相关部门、行业协会（商会）、服务机构积极参与活动，调动中小企业积极性，共同开展好服务节活动。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二）创新服务方式。各级中小企业主管部门可根据当地实际情况，结合疫情防控要求，联合数字化服务机构创新开展线上、线下对接、特色专场等活动，为优质中小企业特别是本地区专精特新中小企业提供定制化数字化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三）加强活动宣传。各级中小企业主管部门及时将本通知转发至本行政区域内下辖单位，在各级中小企业公共服务平台网站设置活动链接，并运用新媒体渠道进行推广，引导中小企业和数字化服务机构积极参与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640" w:firstLineChars="200"/>
        <w:jc w:val="both"/>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70707"/>
          <w:spacing w:val="0"/>
          <w:kern w:val="0"/>
          <w:sz w:val="32"/>
          <w:szCs w:val="32"/>
          <w:lang w:val="en-US" w:eastAsia="zh-CN" w:bidi="ar"/>
        </w:rPr>
        <w:t>五、其他事项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42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请各地中小企业主管部门9月1日前将对接活动联系人及联系方式、9月30日前将活动开展情况（模板见附件）报送工业和信息化部（中小企业局）邮箱cxfwc@miit.gov.cn。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42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420"/>
        <w:jc w:val="center"/>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 xml:space="preserve">               工业和信息化部办公厅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4800" w:firstLineChars="1500"/>
        <w:jc w:val="both"/>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70707"/>
          <w:spacing w:val="0"/>
          <w:kern w:val="0"/>
          <w:sz w:val="32"/>
          <w:szCs w:val="32"/>
          <w:lang w:val="en-US" w:eastAsia="zh-CN" w:bidi="ar"/>
        </w:rPr>
        <w:t>2022年8月25日</w:t>
      </w: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72801103"/>
    <w:rsid w:val="3E595EB3"/>
    <w:rsid w:val="72801103"/>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462</Words>
  <Characters>465</Characters>
  <Lines>0</Lines>
  <Paragraphs>0</Paragraphs>
  <TotalTime>0</TotalTime>
  <ScaleCrop>false</ScaleCrop>
  <LinksUpToDate>false</LinksUpToDate>
  <CharactersWithSpaces>465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2022-09-14T04:00:00Z</dcterms:created>
  <dc:creator>薛尤嘉</dc:creator>
  <cp:lastModifiedBy>薛尤嘉</cp:lastModifiedBy>
  <dcterms:modified xsi:type="dcterms:W3CDTF">2022-09-14T04:01:12Z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1A372E06361F4695906291A4767C53C0</vt:lpwstr>
  </property>
</Properties>
</file>