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XX市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中小企业数字化服务节开展情况</w:t>
      </w:r>
    </w:p>
    <w:p>
      <w:pPr>
        <w:rPr>
          <w:rFonts w:ascii="Times New Roman" w:hAnsi="Times New Roman" w:cs="Times New Roman"/>
        </w:rPr>
      </w:pPr>
    </w:p>
    <w:p>
      <w:pPr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报送单位：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018"/>
        <w:gridCol w:w="5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21"/>
              </w:rPr>
              <w:t>项目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21"/>
              </w:rPr>
              <w:t>内容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21"/>
              </w:rPr>
              <w:t>数量/场次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21"/>
              </w:rPr>
              <w:t>技术赋能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赋能/技术培训活动组织情况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组织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活动</w:t>
            </w: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场次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培训企业数量：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参与服务商数量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数字化转型产品、解决方案、服务供需对接活动覆盖规模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组织活动场次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覆盖企业数量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参与</w:t>
            </w: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服务商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数量：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成交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数量及总金额</w:t>
            </w: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规模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产品/服务优惠总规模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推出服务类优惠数量：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推出产品类优惠数量：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企业实现优惠</w:t>
            </w: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总金额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21"/>
              </w:rPr>
              <w:t>经验赋能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转型诊断与咨询活动服务组织情况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组织活动场次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覆盖企业数量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为企业节省诊断费用总金额：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行业数字化转型交流活动组织情况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组织活动场次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数字化转型示范企业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参与数量：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覆盖企业数量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21"/>
              </w:rPr>
              <w:t>渠道赋能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企业利用工业电商平台实现供需对接情况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企业登录平台流量：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总成交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金额：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企业节约采购成本总金额：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中小企业供需对接活动组织情况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线下活动举办场次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总成交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21"/>
              </w:rPr>
              <w:t>资本赋能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投融资机构服务中小企业活动组织情况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企业推出专项产品数量：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活动举办场次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覆盖中小企业数量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企业获得融资总金额：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</w:p>
        </w:tc>
        <w:tc>
          <w:tcPr>
            <w:tcW w:w="3018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投融资产品创新情况</w:t>
            </w:r>
          </w:p>
        </w:tc>
        <w:tc>
          <w:tcPr>
            <w:tcW w:w="5005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创新融资产品或专项融资方案数量：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投融资扶持基金、金融减免费用总金额：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21"/>
              </w:rPr>
              <w:t>企业获得优惠总金额</w:t>
            </w:r>
          </w:p>
        </w:tc>
        <w:tc>
          <w:tcPr>
            <w:tcW w:w="8023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21"/>
              </w:rPr>
              <w:t>成果总结</w:t>
            </w:r>
          </w:p>
        </w:tc>
        <w:tc>
          <w:tcPr>
            <w:tcW w:w="8023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（不</w:t>
            </w:r>
            <w:r>
              <w:rPr>
                <w:rFonts w:hint="default" w:ascii="Times New Roman" w:hAnsi="Times New Roman" w:cs="Times New Roman"/>
                <w:sz w:val="18"/>
                <w:szCs w:val="21"/>
                <w:lang w:eastAsia="zh-CN"/>
              </w:rPr>
              <w:t>少于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 w:val="18"/>
                <w:szCs w:val="21"/>
              </w:rPr>
              <w:t>00字</w:t>
            </w:r>
            <w:r>
              <w:rPr>
                <w:rFonts w:hint="default" w:ascii="Times New Roman" w:hAnsi="Times New Roman" w:eastAsia="宋体" w:cs="Times New Roman"/>
                <w:sz w:val="18"/>
                <w:szCs w:val="21"/>
              </w:rPr>
              <w:t>，可另附页）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21"/>
              </w:rPr>
            </w:pPr>
          </w:p>
        </w:tc>
      </w:tr>
    </w:tbl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72801103"/>
    <w:rsid w:val="7280110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2022-09-14T04:00:00Z</dcterms:created>
  <dc:creator>薛尤嘉</dc:creator>
  <cp:lastModifiedBy>薛尤嘉</cp:lastModifiedBy>
  <dcterms:modified xsi:type="dcterms:W3CDTF">2022-09-14T04:00:50Z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BB4F000411F44EE58A42FBECED4178DD</vt:lpwstr>
  </property>
</Properties>
</file>