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附件3</w:t>
      </w:r>
    </w:p>
    <w:p>
      <w:pPr>
        <w:widowControl w:val="0"/>
        <w:wordWrap/>
        <w:adjustRightInd/>
        <w:snapToGrid/>
        <w:spacing w:after="0" w:line="560" w:lineRule="exact"/>
        <w:ind w:firstLine="883" w:firstLineChars="200"/>
        <w:jc w:val="center"/>
        <w:textAlignment w:val="auto"/>
        <w:rPr>
          <w:rFonts w:hint="eastAsia" w:ascii="宋体" w:hAnsi="宋体" w:eastAsia="宋体" w:cs="宋体"/>
          <w:b/>
          <w:bCs/>
          <w:sz w:val="44"/>
          <w:szCs w:val="44"/>
          <w:lang w:val="en-US" w:eastAsia="zh-CN"/>
        </w:rPr>
      </w:pPr>
    </w:p>
    <w:p>
      <w:pPr>
        <w:widowControl w:val="0"/>
        <w:wordWrap/>
        <w:adjustRightInd/>
        <w:snapToGrid/>
        <w:spacing w:after="0" w:line="560" w:lineRule="exact"/>
        <w:ind w:firstLine="883" w:firstLineChars="200"/>
        <w:jc w:val="center"/>
        <w:textAlignment w:val="auto"/>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河北省“</w:t>
      </w:r>
      <w:r>
        <w:rPr>
          <w:rFonts w:hint="eastAsia" w:ascii="宋体" w:hAnsi="宋体" w:cs="宋体"/>
          <w:b/>
          <w:bCs/>
          <w:sz w:val="44"/>
          <w:szCs w:val="44"/>
          <w:lang w:val="en-US" w:eastAsia="zh-CN"/>
        </w:rPr>
        <w:t>无废企业（工厂）</w:t>
      </w:r>
      <w:r>
        <w:rPr>
          <w:rFonts w:hint="eastAsia" w:ascii="宋体" w:hAnsi="宋体" w:eastAsia="宋体" w:cs="宋体"/>
          <w:b/>
          <w:bCs/>
          <w:sz w:val="44"/>
          <w:szCs w:val="44"/>
          <w:lang w:val="en-US" w:eastAsia="zh-CN"/>
        </w:rPr>
        <w:t>”</w:t>
      </w:r>
      <w:r>
        <w:rPr>
          <w:rFonts w:hint="eastAsia" w:ascii="宋体" w:hAnsi="宋体" w:cs="宋体"/>
          <w:b/>
          <w:bCs/>
          <w:sz w:val="44"/>
          <w:szCs w:val="44"/>
          <w:lang w:val="en-US" w:eastAsia="zh-CN"/>
        </w:rPr>
        <w:t>评价指标</w:t>
      </w:r>
    </w:p>
    <w:p>
      <w:pPr>
        <w:widowControl w:val="0"/>
        <w:wordWrap/>
        <w:adjustRightInd/>
        <w:snapToGrid/>
        <w:spacing w:after="0" w:line="560" w:lineRule="exact"/>
        <w:ind w:firstLine="883" w:firstLineChars="200"/>
        <w:jc w:val="left"/>
        <w:textAlignment w:val="auto"/>
        <w:rPr>
          <w:rFonts w:hint="default" w:ascii="宋体" w:hAnsi="宋体" w:eastAsia="宋体" w:cs="宋体"/>
          <w:b/>
          <w:bCs/>
          <w:sz w:val="44"/>
          <w:szCs w:val="44"/>
          <w:lang w:val="en-US" w:eastAsia="zh-CN"/>
        </w:rPr>
      </w:pPr>
    </w:p>
    <w:p>
      <w:pPr>
        <w:widowControl w:val="0"/>
        <w:numPr>
          <w:ilvl w:val="0"/>
          <w:numId w:val="0"/>
        </w:numPr>
        <w:wordWrap/>
        <w:adjustRightInd/>
        <w:snapToGrid/>
        <w:spacing w:after="0"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一、适用范围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本文件规定了河北省“无废企业（工厂）”的评价指标和指标计算方法，适用于河北省“无废企业（工厂）”申报、评价及管理。</w:t>
      </w:r>
      <w:r>
        <w:rPr>
          <w:rFonts w:hint="eastAsia" w:ascii="仿宋" w:hAnsi="仿宋" w:eastAsia="仿宋" w:cs="仿宋"/>
          <w:sz w:val="32"/>
          <w:szCs w:val="32"/>
          <w:highlight w:val="none"/>
          <w:lang w:val="en-US" w:eastAsia="zh-CN"/>
        </w:rPr>
        <w:t>已列入国家或省级绿色工厂名单的予以优先支持。</w:t>
      </w:r>
    </w:p>
    <w:p>
      <w:pPr>
        <w:widowControl w:val="0"/>
        <w:numPr>
          <w:ilvl w:val="0"/>
          <w:numId w:val="0"/>
        </w:numPr>
        <w:wordWrap/>
        <w:adjustRightInd/>
        <w:snapToGrid/>
        <w:spacing w:after="0"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sz w:val="32"/>
          <w:szCs w:val="32"/>
          <w:lang w:val="en-US" w:eastAsia="zh-CN"/>
        </w:rPr>
        <w:t>二、评价指标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“无废企业（工厂）”评价指标体系包括工业固体废物源头减量指标、工业固体废物资源化利用指标、工业固体废物最终处置指标、保障能力指标、群众获得感指标5个方面，具体如表3.1所示。</w:t>
      </w:r>
    </w:p>
    <w:p>
      <w:pPr>
        <w:pStyle w:val="4"/>
        <w:jc w:val="center"/>
        <w:rPr>
          <w:rFonts w:hint="default"/>
          <w:lang w:val="en-US" w:eastAsia="zh-CN"/>
        </w:rPr>
      </w:pPr>
      <w:r>
        <w:rPr>
          <w:rFonts w:hint="eastAsia" w:ascii="黑体" w:hAnsi="黑体" w:eastAsia="黑体" w:cs="黑体"/>
          <w:lang w:val="en-US" w:eastAsia="zh-CN"/>
        </w:rPr>
        <w:t>表3.1  “无废企业（工厂）”评价指标体系</w:t>
      </w:r>
    </w:p>
    <w:tbl>
      <w:tblPr>
        <w:tblStyle w:val="5"/>
        <w:tblW w:w="8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2010"/>
        <w:gridCol w:w="2985"/>
        <w:gridCol w:w="2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val="0"/>
              <w:spacing w:before="119" w:line="221" w:lineRule="auto"/>
              <w:ind w:firstLine="5"/>
              <w:jc w:val="center"/>
              <w:rPr>
                <w:rFonts w:hint="eastAsia" w:ascii="仿宋_GB2312" w:hAnsi="仿宋_GB2312" w:eastAsia="仿宋_GB2312" w:cs="仿宋_GB2312"/>
                <w:color w:val="auto"/>
                <w:spacing w:val="6"/>
                <w:sz w:val="24"/>
                <w:szCs w:val="24"/>
              </w:rPr>
            </w:pPr>
            <w:r>
              <w:rPr>
                <w:rFonts w:hint="eastAsia" w:ascii="仿宋_GB2312" w:hAnsi="仿宋_GB2312" w:eastAsia="仿宋_GB2312" w:cs="仿宋_GB2312"/>
                <w:color w:val="auto"/>
                <w:spacing w:val="6"/>
                <w:sz w:val="24"/>
                <w:szCs w:val="24"/>
              </w:rPr>
              <w:t>序号</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widowControl w:val="0"/>
              <w:spacing w:before="119" w:line="221" w:lineRule="auto"/>
              <w:ind w:firstLine="5"/>
              <w:jc w:val="center"/>
              <w:rPr>
                <w:rFonts w:hint="eastAsia" w:ascii="仿宋_GB2312" w:hAnsi="仿宋_GB2312" w:eastAsia="仿宋_GB2312" w:cs="仿宋_GB2312"/>
                <w:color w:val="auto"/>
                <w:spacing w:val="6"/>
                <w:sz w:val="24"/>
                <w:szCs w:val="24"/>
              </w:rPr>
            </w:pPr>
            <w:r>
              <w:rPr>
                <w:rFonts w:hint="eastAsia" w:ascii="仿宋_GB2312" w:hAnsi="仿宋_GB2312" w:eastAsia="仿宋_GB2312" w:cs="仿宋_GB2312"/>
                <w:color w:val="auto"/>
                <w:spacing w:val="6"/>
                <w:sz w:val="24"/>
                <w:szCs w:val="24"/>
              </w:rPr>
              <w:t>一级指标</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widowControl w:val="0"/>
              <w:spacing w:before="119" w:line="221" w:lineRule="auto"/>
              <w:ind w:firstLine="5"/>
              <w:jc w:val="center"/>
              <w:rPr>
                <w:rFonts w:hint="eastAsia" w:ascii="仿宋_GB2312" w:hAnsi="仿宋_GB2312" w:eastAsia="仿宋_GB2312" w:cs="仿宋_GB2312"/>
                <w:color w:val="auto"/>
                <w:spacing w:val="6"/>
                <w:sz w:val="24"/>
                <w:szCs w:val="24"/>
              </w:rPr>
            </w:pPr>
            <w:r>
              <w:rPr>
                <w:rFonts w:hint="eastAsia" w:ascii="仿宋_GB2312" w:hAnsi="仿宋_GB2312" w:eastAsia="仿宋_GB2312" w:cs="仿宋_GB2312"/>
                <w:color w:val="auto"/>
                <w:spacing w:val="6"/>
                <w:sz w:val="24"/>
                <w:szCs w:val="24"/>
              </w:rPr>
              <w:t>二级指标</w:t>
            </w:r>
          </w:p>
        </w:tc>
        <w:tc>
          <w:tcPr>
            <w:tcW w:w="2500" w:type="dxa"/>
            <w:tcBorders>
              <w:top w:val="single" w:color="auto" w:sz="4" w:space="0"/>
              <w:left w:val="single" w:color="auto" w:sz="4" w:space="0"/>
              <w:bottom w:val="single" w:color="auto" w:sz="4" w:space="0"/>
              <w:right w:val="single" w:color="auto" w:sz="4" w:space="0"/>
            </w:tcBorders>
            <w:noWrap w:val="0"/>
            <w:vAlign w:val="center"/>
          </w:tcPr>
          <w:p>
            <w:pPr>
              <w:widowControl w:val="0"/>
              <w:spacing w:before="119" w:line="221" w:lineRule="auto"/>
              <w:ind w:firstLine="5"/>
              <w:jc w:val="center"/>
              <w:rPr>
                <w:rFonts w:hint="eastAsia" w:ascii="仿宋_GB2312" w:hAnsi="仿宋_GB2312" w:eastAsia="仿宋_GB2312" w:cs="仿宋_GB2312"/>
                <w:color w:val="auto"/>
                <w:spacing w:val="6"/>
                <w:sz w:val="24"/>
                <w:szCs w:val="24"/>
                <w:lang w:val="en-US" w:eastAsia="zh-CN"/>
              </w:rPr>
            </w:pPr>
            <w:r>
              <w:rPr>
                <w:rFonts w:hint="eastAsia" w:ascii="仿宋_GB2312" w:hAnsi="仿宋_GB2312" w:eastAsia="仿宋_GB2312" w:cs="仿宋_GB2312"/>
                <w:color w:val="auto"/>
                <w:spacing w:val="6"/>
                <w:sz w:val="24"/>
                <w:szCs w:val="24"/>
              </w:rPr>
              <w:t>指标要</w:t>
            </w:r>
            <w:r>
              <w:rPr>
                <w:rFonts w:hint="eastAsia" w:ascii="仿宋_GB2312" w:hAnsi="仿宋_GB2312" w:eastAsia="仿宋_GB2312" w:cs="仿宋_GB2312"/>
                <w:color w:val="auto"/>
                <w:spacing w:val="6"/>
                <w:sz w:val="24"/>
                <w:szCs w:val="24"/>
                <w:lang w:val="en-US" w:eastAsia="zh-CN"/>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20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pacing w:val="2"/>
                <w:sz w:val="24"/>
                <w:szCs w:val="24"/>
              </w:rPr>
            </w:pPr>
            <w:r>
              <w:rPr>
                <w:rFonts w:hint="eastAsia" w:ascii="仿宋_GB2312" w:hAnsi="仿宋_GB2312" w:eastAsia="仿宋_GB2312" w:cs="仿宋_GB2312"/>
                <w:color w:val="auto"/>
                <w:spacing w:val="2"/>
                <w:sz w:val="24"/>
                <w:szCs w:val="24"/>
                <w:lang w:val="en-US" w:eastAsia="zh-CN"/>
              </w:rPr>
              <w:t>工业</w:t>
            </w:r>
            <w:r>
              <w:rPr>
                <w:rFonts w:hint="eastAsia" w:ascii="仿宋_GB2312" w:hAnsi="仿宋_GB2312" w:eastAsia="仿宋_GB2312" w:cs="仿宋_GB2312"/>
                <w:color w:val="auto"/>
                <w:spacing w:val="2"/>
                <w:sz w:val="24"/>
                <w:szCs w:val="24"/>
              </w:rPr>
              <w:t>固体废物</w:t>
            </w:r>
          </w:p>
          <w:p>
            <w:pPr>
              <w:widowControl w:val="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pacing w:val="-2"/>
                <w:sz w:val="24"/>
                <w:szCs w:val="24"/>
              </w:rPr>
              <w:t>源头减量</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pacing w:val="-2"/>
                <w:sz w:val="24"/>
                <w:szCs w:val="24"/>
              </w:rPr>
              <w:t>工业固体废物产生强度</w:t>
            </w:r>
          </w:p>
        </w:tc>
        <w:tc>
          <w:tcPr>
            <w:tcW w:w="250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pacing w:val="3"/>
                <w:sz w:val="24"/>
                <w:szCs w:val="24"/>
                <w:lang w:val="en-US" w:eastAsia="zh-CN"/>
              </w:rPr>
              <w:t>零增长或</w:t>
            </w:r>
            <w:r>
              <w:rPr>
                <w:rFonts w:hint="eastAsia" w:ascii="仿宋_GB2312" w:hAnsi="仿宋_GB2312" w:eastAsia="仿宋_GB2312" w:cs="仿宋_GB2312"/>
                <w:color w:val="auto"/>
                <w:spacing w:val="3"/>
                <w:sz w:val="24"/>
                <w:szCs w:val="24"/>
              </w:rPr>
              <w:t>逐年降低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w:t>
            </w:r>
          </w:p>
        </w:tc>
        <w:tc>
          <w:tcPr>
            <w:tcW w:w="20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rPr>
            </w:pPr>
          </w:p>
        </w:tc>
        <w:tc>
          <w:tcPr>
            <w:tcW w:w="2985"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pacing w:val="-2"/>
                <w:sz w:val="24"/>
                <w:szCs w:val="24"/>
              </w:rPr>
              <w:t>实施清洁生产情况</w:t>
            </w:r>
          </w:p>
        </w:tc>
        <w:tc>
          <w:tcPr>
            <w:tcW w:w="250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鼓励，重点行业企业需完成清洁生产审核（法律规定）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w:t>
            </w:r>
          </w:p>
        </w:tc>
        <w:tc>
          <w:tcPr>
            <w:tcW w:w="20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rPr>
            </w:pPr>
          </w:p>
        </w:tc>
        <w:tc>
          <w:tcPr>
            <w:tcW w:w="2985"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rPr>
              <w:t>开展绿色工厂建设情况</w:t>
            </w:r>
          </w:p>
        </w:tc>
        <w:tc>
          <w:tcPr>
            <w:tcW w:w="250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pacing w:val="-2"/>
                <w:sz w:val="24"/>
                <w:szCs w:val="24"/>
                <w:lang w:val="en-US" w:eastAsia="zh-CN"/>
              </w:rPr>
              <w:t>鼓励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w:t>
            </w:r>
          </w:p>
        </w:tc>
        <w:tc>
          <w:tcPr>
            <w:tcW w:w="20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lang w:val="en-US" w:eastAsia="zh-CN"/>
              </w:rPr>
              <w:t>工业</w:t>
            </w:r>
            <w:r>
              <w:rPr>
                <w:rFonts w:hint="eastAsia" w:ascii="仿宋_GB2312" w:hAnsi="仿宋_GB2312" w:eastAsia="仿宋_GB2312" w:cs="仿宋_GB2312"/>
                <w:color w:val="auto"/>
                <w:sz w:val="24"/>
                <w:szCs w:val="24"/>
              </w:rPr>
              <w:t>固体废物</w:t>
            </w:r>
          </w:p>
          <w:p>
            <w:pPr>
              <w:widowControl w:val="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pacing w:val="3"/>
                <w:sz w:val="24"/>
                <w:szCs w:val="24"/>
              </w:rPr>
              <w:t>资源化利</w:t>
            </w:r>
            <w:r>
              <w:rPr>
                <w:rFonts w:hint="eastAsia" w:ascii="仿宋_GB2312" w:hAnsi="仿宋_GB2312" w:eastAsia="仿宋_GB2312" w:cs="仿宋_GB2312"/>
                <w:color w:val="auto"/>
                <w:sz w:val="24"/>
                <w:szCs w:val="24"/>
              </w:rPr>
              <w:t>用</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pacing w:val="4"/>
                <w:sz w:val="24"/>
                <w:szCs w:val="24"/>
              </w:rPr>
              <w:t>工业固</w:t>
            </w:r>
            <w:r>
              <w:rPr>
                <w:rFonts w:hint="eastAsia" w:ascii="仿宋_GB2312" w:hAnsi="仿宋_GB2312" w:eastAsia="仿宋_GB2312" w:cs="仿宋_GB2312"/>
                <w:color w:val="auto"/>
                <w:spacing w:val="-2"/>
                <w:sz w:val="24"/>
                <w:szCs w:val="24"/>
              </w:rPr>
              <w:t>体废物综合</w:t>
            </w:r>
            <w:r>
              <w:rPr>
                <w:rFonts w:hint="eastAsia" w:ascii="仿宋_GB2312" w:hAnsi="仿宋_GB2312" w:eastAsia="仿宋_GB2312" w:cs="仿宋_GB2312"/>
                <w:color w:val="auto"/>
                <w:spacing w:val="5"/>
                <w:sz w:val="24"/>
                <w:szCs w:val="24"/>
              </w:rPr>
              <w:t>利用率</w:t>
            </w:r>
          </w:p>
        </w:tc>
        <w:tc>
          <w:tcPr>
            <w:tcW w:w="250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b w:val="0"/>
                <w:bCs w:val="0"/>
                <w:color w:val="auto"/>
                <w:sz w:val="24"/>
                <w:szCs w:val="24"/>
                <w:lang w:val="en-US" w:eastAsia="zh-CN"/>
              </w:rPr>
              <w:t>逐年提高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w:t>
            </w:r>
          </w:p>
        </w:tc>
        <w:tc>
          <w:tcPr>
            <w:tcW w:w="20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pacing w:val="2"/>
                <w:sz w:val="24"/>
                <w:szCs w:val="24"/>
                <w:lang w:val="en-US" w:eastAsia="zh-CN"/>
              </w:rPr>
            </w:pPr>
          </w:p>
        </w:tc>
        <w:tc>
          <w:tcPr>
            <w:tcW w:w="2985"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pacing w:val="4"/>
                <w:sz w:val="24"/>
                <w:szCs w:val="24"/>
              </w:rPr>
            </w:pPr>
            <w:r>
              <w:rPr>
                <w:rFonts w:hint="eastAsia" w:ascii="仿宋_GB2312" w:hAnsi="仿宋_GB2312" w:eastAsia="仿宋_GB2312" w:cs="仿宋_GB2312"/>
                <w:color w:val="auto"/>
                <w:spacing w:val="4"/>
                <w:sz w:val="24"/>
                <w:szCs w:val="24"/>
              </w:rPr>
              <w:t>再生资源回收利用率</w:t>
            </w:r>
          </w:p>
        </w:tc>
        <w:tc>
          <w:tcPr>
            <w:tcW w:w="250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b w:val="0"/>
                <w:bCs w:val="0"/>
                <w:color w:val="auto"/>
                <w:sz w:val="24"/>
                <w:szCs w:val="24"/>
                <w:lang w:val="en-US" w:eastAsia="zh-CN"/>
              </w:rPr>
              <w:t>逐年提高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pacing w:val="2"/>
                <w:sz w:val="24"/>
                <w:szCs w:val="24"/>
              </w:rPr>
            </w:pPr>
            <w:r>
              <w:rPr>
                <w:rFonts w:hint="eastAsia" w:ascii="仿宋_GB2312" w:hAnsi="仿宋_GB2312" w:eastAsia="仿宋_GB2312" w:cs="仿宋_GB2312"/>
                <w:color w:val="auto"/>
                <w:spacing w:val="2"/>
                <w:sz w:val="24"/>
                <w:szCs w:val="24"/>
                <w:lang w:val="en-US" w:eastAsia="zh-CN"/>
              </w:rPr>
              <w:t>工业</w:t>
            </w:r>
            <w:r>
              <w:rPr>
                <w:rFonts w:hint="eastAsia" w:ascii="仿宋_GB2312" w:hAnsi="仿宋_GB2312" w:eastAsia="仿宋_GB2312" w:cs="仿宋_GB2312"/>
                <w:color w:val="auto"/>
                <w:spacing w:val="2"/>
                <w:sz w:val="24"/>
                <w:szCs w:val="24"/>
              </w:rPr>
              <w:t>固体废物</w:t>
            </w:r>
          </w:p>
          <w:p>
            <w:pPr>
              <w:widowControl w:val="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pacing w:val="-3"/>
                <w:sz w:val="24"/>
                <w:szCs w:val="24"/>
              </w:rPr>
              <w:t>最终处置</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pacing w:val="4"/>
                <w:sz w:val="24"/>
                <w:szCs w:val="24"/>
              </w:rPr>
              <w:t>一般工业固</w:t>
            </w:r>
            <w:r>
              <w:rPr>
                <w:rFonts w:hint="eastAsia" w:ascii="仿宋_GB2312" w:hAnsi="仿宋_GB2312" w:eastAsia="仿宋_GB2312" w:cs="仿宋_GB2312"/>
                <w:color w:val="auto"/>
                <w:spacing w:val="-2"/>
                <w:sz w:val="24"/>
                <w:szCs w:val="24"/>
              </w:rPr>
              <w:t>体废物贮存</w:t>
            </w:r>
            <w:r>
              <w:rPr>
                <w:rFonts w:hint="eastAsia" w:ascii="仿宋_GB2312" w:hAnsi="仿宋_GB2312" w:eastAsia="仿宋_GB2312" w:cs="仿宋_GB2312"/>
                <w:color w:val="auto"/>
                <w:spacing w:val="1"/>
                <w:sz w:val="24"/>
                <w:szCs w:val="24"/>
              </w:rPr>
              <w:t xml:space="preserve"> 处置下降幅</w:t>
            </w:r>
            <w:r>
              <w:rPr>
                <w:rFonts w:hint="eastAsia" w:ascii="仿宋_GB2312" w:hAnsi="仿宋_GB2312" w:eastAsia="仿宋_GB2312" w:cs="仿宋_GB2312"/>
                <w:color w:val="auto"/>
                <w:spacing w:val="11"/>
                <w:sz w:val="24"/>
                <w:szCs w:val="24"/>
              </w:rPr>
              <w:t>度</w:t>
            </w:r>
          </w:p>
        </w:tc>
        <w:tc>
          <w:tcPr>
            <w:tcW w:w="250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pacing w:val="1"/>
                <w:sz w:val="24"/>
                <w:szCs w:val="24"/>
              </w:rPr>
              <w:t>一般工业固体</w:t>
            </w:r>
            <w:r>
              <w:rPr>
                <w:rFonts w:hint="eastAsia" w:ascii="仿宋_GB2312" w:hAnsi="仿宋_GB2312" w:eastAsia="仿宋_GB2312" w:cs="仿宋_GB2312"/>
                <w:color w:val="auto"/>
                <w:spacing w:val="-2"/>
                <w:sz w:val="24"/>
                <w:szCs w:val="24"/>
              </w:rPr>
              <w:t>废物贮存处置量逐年下降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20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保障能力</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制度体系建设</w:t>
            </w:r>
          </w:p>
        </w:tc>
        <w:tc>
          <w:tcPr>
            <w:tcW w:w="250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20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sz w:val="24"/>
                <w:szCs w:val="24"/>
                <w:vertAlign w:val="baseline"/>
              </w:rPr>
            </w:pPr>
          </w:p>
        </w:tc>
        <w:tc>
          <w:tcPr>
            <w:tcW w:w="2985"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技术体系建设</w:t>
            </w:r>
          </w:p>
        </w:tc>
        <w:tc>
          <w:tcPr>
            <w:tcW w:w="250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群众获得感</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w:t>
            </w:r>
            <w:r>
              <w:rPr>
                <w:rFonts w:hint="eastAsia" w:ascii="仿宋_GB2312" w:hAnsi="仿宋_GB2312" w:eastAsia="仿宋_GB2312" w:cs="仿宋_GB2312"/>
                <w:sz w:val="24"/>
                <w:szCs w:val="24"/>
                <w:vertAlign w:val="baseline"/>
                <w:lang w:eastAsia="zh-CN"/>
              </w:rPr>
              <w:t>无废企业（工厂）</w:t>
            </w:r>
            <w:r>
              <w:rPr>
                <w:rFonts w:hint="eastAsia" w:ascii="仿宋_GB2312" w:hAnsi="仿宋_GB2312" w:eastAsia="仿宋_GB2312" w:cs="仿宋_GB2312"/>
                <w:sz w:val="24"/>
                <w:szCs w:val="24"/>
                <w:vertAlign w:val="baseline"/>
              </w:rPr>
              <w:t>”</w:t>
            </w:r>
            <w:r>
              <w:rPr>
                <w:rFonts w:hint="eastAsia" w:ascii="仿宋_GB2312" w:hAnsi="仿宋_GB2312" w:eastAsia="仿宋_GB2312" w:cs="仿宋_GB2312"/>
                <w:sz w:val="24"/>
                <w:szCs w:val="24"/>
                <w:vertAlign w:val="baseline"/>
                <w:lang w:val="en-US" w:eastAsia="zh-CN"/>
              </w:rPr>
              <w:t>建设教育培训</w:t>
            </w:r>
          </w:p>
        </w:tc>
        <w:tc>
          <w:tcPr>
            <w:tcW w:w="250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三、评价指标解释</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0" w:right="0" w:rightChars="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（一）工业固体废物源头减量指标</w:t>
      </w:r>
    </w:p>
    <w:p>
      <w:pPr>
        <w:ind w:firstLine="630"/>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w:t>
      </w:r>
      <w:r>
        <w:rPr>
          <w:rFonts w:hint="eastAsia" w:ascii="仿宋_GB2312" w:hAnsi="仿宋_GB2312" w:eastAsia="仿宋_GB2312" w:cs="仿宋_GB2312"/>
          <w:sz w:val="32"/>
          <w:szCs w:val="24"/>
          <w:lang w:val="en-US" w:eastAsia="zh-CN"/>
        </w:rPr>
        <w:t>1</w:t>
      </w:r>
      <w:r>
        <w:rPr>
          <w:rFonts w:hint="eastAsia" w:ascii="仿宋_GB2312" w:hAnsi="仿宋_GB2312" w:eastAsia="仿宋_GB2312" w:cs="仿宋_GB2312"/>
          <w:sz w:val="32"/>
          <w:szCs w:val="24"/>
          <w:lang w:eastAsia="zh-CN"/>
        </w:rPr>
        <w:t>）工业固体废物产生强度</w:t>
      </w:r>
    </w:p>
    <w:p>
      <w:pPr>
        <w:ind w:firstLine="630"/>
        <w:rPr>
          <w:rFonts w:hint="eastAsia" w:ascii="仿宋_GB2312" w:hAnsi="仿宋_GB2312" w:eastAsia="仿宋_GB2312" w:cs="仿宋_GB2312"/>
          <w:b/>
          <w:bCs/>
          <w:sz w:val="32"/>
          <w:szCs w:val="24"/>
          <w:lang w:val="en-US" w:eastAsia="zh-CN"/>
        </w:rPr>
      </w:pPr>
      <w:r>
        <w:rPr>
          <w:rFonts w:hint="eastAsia" w:ascii="仿宋_GB2312" w:hAnsi="仿宋_GB2312" w:eastAsia="仿宋_GB2312" w:cs="仿宋_GB2312"/>
          <w:b/>
          <w:bCs/>
          <w:sz w:val="32"/>
          <w:szCs w:val="24"/>
          <w:lang w:val="en-US" w:eastAsia="zh-CN"/>
        </w:rPr>
        <w:t>指标解释：</w:t>
      </w:r>
      <w:r>
        <w:rPr>
          <w:rFonts w:hint="eastAsia" w:ascii="仿宋_GB2312" w:hAnsi="仿宋_GB2312" w:eastAsia="仿宋_GB2312" w:cs="仿宋_GB2312"/>
          <w:sz w:val="32"/>
          <w:szCs w:val="32"/>
        </w:rPr>
        <w:t>指纳入固体废物申报登记范围的工业企业,每万元工业增加值的一般工业固体废物产生量。该指标是用于促进全面降低一般工业固体废物产生强度的综合性指标。</w:t>
      </w:r>
    </w:p>
    <w:p>
      <w:pPr>
        <w:pStyle w:val="2"/>
        <w:numPr>
          <w:ilvl w:val="0"/>
          <w:numId w:val="0"/>
        </w:numPr>
        <w:spacing w:line="360" w:lineRule="auto"/>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24"/>
          <w:lang w:val="en-US" w:eastAsia="zh-CN"/>
        </w:rPr>
        <w:t>计算公式：</w:t>
      </w:r>
      <w:r>
        <w:rPr>
          <w:rFonts w:hint="eastAsia" w:ascii="仿宋_GB2312" w:hAnsi="仿宋_GB2312" w:eastAsia="仿宋_GB2312" w:cs="仿宋_GB2312"/>
          <w:b w:val="0"/>
          <w:bCs w:val="0"/>
          <w:sz w:val="32"/>
          <w:szCs w:val="32"/>
          <w:lang w:val="en-US" w:eastAsia="zh-CN"/>
        </w:rPr>
        <w:t>一般工业固体废物产生强度=一般工业固体废物产生量÷工业增加值</w:t>
      </w:r>
      <w:r>
        <w:rPr>
          <w:rFonts w:hint="eastAsia" w:ascii="仿宋_GB2312" w:hAnsi="仿宋_GB2312" w:eastAsia="仿宋_GB2312" w:cs="仿宋_GB2312"/>
          <w:sz w:val="32"/>
          <w:szCs w:val="32"/>
        </w:rPr>
        <w:t>。</w:t>
      </w:r>
    </w:p>
    <w:p>
      <w:pPr>
        <w:pStyle w:val="2"/>
        <w:numPr>
          <w:ilvl w:val="0"/>
          <w:numId w:val="0"/>
        </w:numPr>
        <w:spacing w:line="360" w:lineRule="auto"/>
        <w:ind w:firstLine="640" w:firstLineChars="200"/>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w:t>
      </w:r>
      <w:r>
        <w:rPr>
          <w:rFonts w:hint="eastAsia" w:ascii="仿宋_GB2312" w:hAnsi="仿宋_GB2312" w:eastAsia="仿宋_GB2312" w:cs="仿宋_GB2312"/>
          <w:sz w:val="32"/>
          <w:szCs w:val="24"/>
          <w:lang w:val="en-US" w:eastAsia="zh-CN"/>
        </w:rPr>
        <w:t>2</w:t>
      </w:r>
      <w:r>
        <w:rPr>
          <w:rFonts w:hint="eastAsia" w:ascii="仿宋_GB2312" w:hAnsi="仿宋_GB2312" w:eastAsia="仿宋_GB2312" w:cs="仿宋_GB2312"/>
          <w:sz w:val="32"/>
          <w:szCs w:val="24"/>
          <w:lang w:eastAsia="zh-CN"/>
        </w:rPr>
        <w:t>）实施清洁生产情况</w:t>
      </w:r>
    </w:p>
    <w:p>
      <w:pPr>
        <w:ind w:firstLine="630"/>
        <w:rPr>
          <w:rFonts w:hint="eastAsia" w:ascii="仿宋_GB2312" w:hAnsi="仿宋_GB2312" w:eastAsia="仿宋_GB2312" w:cs="仿宋_GB2312"/>
          <w:b/>
          <w:bCs/>
          <w:sz w:val="32"/>
          <w:szCs w:val="24"/>
          <w:lang w:val="en-US" w:eastAsia="zh-CN"/>
        </w:rPr>
      </w:pPr>
      <w:r>
        <w:rPr>
          <w:rFonts w:hint="eastAsia" w:ascii="仿宋_GB2312" w:hAnsi="仿宋_GB2312" w:eastAsia="仿宋_GB2312" w:cs="仿宋_GB2312"/>
          <w:b/>
          <w:bCs/>
          <w:sz w:val="32"/>
          <w:szCs w:val="24"/>
          <w:lang w:val="en-US" w:eastAsia="zh-CN"/>
        </w:rPr>
        <w:t>指标解释：</w:t>
      </w:r>
      <w:r>
        <w:rPr>
          <w:rFonts w:hint="eastAsia" w:ascii="仿宋_GB2312" w:hAnsi="仿宋_GB2312" w:eastAsia="仿宋_GB2312" w:cs="仿宋_GB2312"/>
          <w:sz w:val="32"/>
          <w:szCs w:val="32"/>
        </w:rPr>
        <w:t>指企业按《清洁生产审核评估与验收指南》(环办科技〔2018〕5号)要求通过审核评估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该指标用于促进企业实施清洁生产,从源头控制资源和能源消耗, 提高资源利用效率,削减固体废物产生量,减少进入最终处置环节的固体废物量。</w:t>
      </w:r>
    </w:p>
    <w:p>
      <w:pPr>
        <w:pStyle w:val="2"/>
        <w:numPr>
          <w:ilvl w:val="0"/>
          <w:numId w:val="0"/>
        </w:numPr>
        <w:spacing w:line="360" w:lineRule="auto"/>
        <w:ind w:left="0" w:firstLine="640" w:firstLineChars="200"/>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w:t>
      </w:r>
      <w:r>
        <w:rPr>
          <w:rFonts w:hint="eastAsia" w:ascii="仿宋_GB2312" w:hAnsi="仿宋_GB2312" w:eastAsia="仿宋_GB2312" w:cs="仿宋_GB2312"/>
          <w:sz w:val="32"/>
          <w:szCs w:val="24"/>
          <w:lang w:val="en-US" w:eastAsia="zh-CN"/>
        </w:rPr>
        <w:t>3</w:t>
      </w:r>
      <w:r>
        <w:rPr>
          <w:rFonts w:hint="eastAsia" w:ascii="仿宋_GB2312" w:hAnsi="仿宋_GB2312" w:eastAsia="仿宋_GB2312" w:cs="仿宋_GB2312"/>
          <w:sz w:val="32"/>
          <w:szCs w:val="24"/>
          <w:lang w:eastAsia="zh-CN"/>
        </w:rPr>
        <w:t>）开展绿色工厂建设情况</w:t>
      </w:r>
    </w:p>
    <w:p>
      <w:pPr>
        <w:ind w:firstLine="630"/>
        <w:rPr>
          <w:rFonts w:hint="eastAsia" w:ascii="仿宋_GB2312" w:hAnsi="仿宋_GB2312" w:eastAsia="仿宋_GB2312" w:cs="仿宋_GB2312"/>
          <w:b/>
          <w:bCs/>
          <w:sz w:val="32"/>
          <w:szCs w:val="24"/>
          <w:lang w:val="en-US" w:eastAsia="zh-CN"/>
        </w:rPr>
      </w:pPr>
      <w:r>
        <w:rPr>
          <w:rFonts w:hint="eastAsia" w:ascii="仿宋_GB2312" w:hAnsi="仿宋_GB2312" w:eastAsia="仿宋_GB2312" w:cs="仿宋_GB2312"/>
          <w:b/>
          <w:bCs/>
          <w:sz w:val="32"/>
          <w:szCs w:val="24"/>
          <w:lang w:val="en-US" w:eastAsia="zh-CN"/>
        </w:rPr>
        <w:t>指标解释：</w:t>
      </w:r>
      <w:r>
        <w:rPr>
          <w:rFonts w:hint="eastAsia" w:ascii="仿宋_GB2312" w:hAnsi="仿宋_GB2312" w:eastAsia="仿宋_GB2312" w:cs="仿宋_GB2312"/>
          <w:sz w:val="32"/>
          <w:szCs w:val="32"/>
        </w:rPr>
        <w:t>绿色工厂是指按照《绿色工厂评价通则》(GB/T 36132)和相关行业绿色工厂评价导则,实现了用地集约化、原料无害化、生产洁净化、废物资源化、能源低碳化的工厂,包括国家级、省级等各级绿色工厂。该指标用于促进工厂减少有害原材料的使用,提高原材料使用效率和工业固体废物综合利用率。</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0" w:right="0" w:rightChars="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（二）工业固体废物资源化利用指标</w:t>
      </w:r>
    </w:p>
    <w:p>
      <w:pPr>
        <w:pStyle w:val="2"/>
        <w:numPr>
          <w:ilvl w:val="0"/>
          <w:numId w:val="0"/>
        </w:numPr>
        <w:spacing w:line="360" w:lineRule="auto"/>
        <w:ind w:firstLine="640" w:firstLineChars="200"/>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w:t>
      </w:r>
      <w:r>
        <w:rPr>
          <w:rFonts w:hint="eastAsia" w:ascii="仿宋_GB2312" w:hAnsi="仿宋_GB2312" w:eastAsia="仿宋_GB2312" w:cs="仿宋_GB2312"/>
          <w:sz w:val="32"/>
          <w:szCs w:val="24"/>
          <w:lang w:val="en-US" w:eastAsia="zh-CN"/>
        </w:rPr>
        <w:t>4</w:t>
      </w:r>
      <w:r>
        <w:rPr>
          <w:rFonts w:hint="eastAsia" w:ascii="仿宋_GB2312" w:hAnsi="仿宋_GB2312" w:eastAsia="仿宋_GB2312" w:cs="仿宋_GB2312"/>
          <w:sz w:val="32"/>
          <w:szCs w:val="24"/>
          <w:lang w:eastAsia="zh-CN"/>
        </w:rPr>
        <w:t>）工业固体废物综合利用率</w:t>
      </w:r>
    </w:p>
    <w:p>
      <w:pPr>
        <w:ind w:firstLine="630"/>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lang w:val="en-US" w:eastAsia="zh-CN"/>
        </w:rPr>
        <w:t>指标解释：</w:t>
      </w:r>
      <w:r>
        <w:rPr>
          <w:rFonts w:hint="eastAsia" w:ascii="仿宋_GB2312" w:hAnsi="仿宋_GB2312" w:eastAsia="仿宋_GB2312" w:cs="仿宋_GB2312"/>
          <w:b w:val="0"/>
          <w:bCs w:val="0"/>
          <w:sz w:val="32"/>
          <w:szCs w:val="24"/>
          <w:lang w:val="en-US" w:eastAsia="zh-CN"/>
        </w:rPr>
        <w:t>指一般工业固体废物综合利用量与一般工业固体废物产生量(包括综合利用往年贮存量)的比率。该指标用于促进一般工业固体废物综合利用,减少工业资源、能源消耗</w:t>
      </w:r>
      <w:r>
        <w:rPr>
          <w:rFonts w:hint="eastAsia" w:ascii="仿宋_GB2312" w:hAnsi="仿宋_GB2312" w:eastAsia="仿宋_GB2312" w:cs="仿宋_GB2312"/>
          <w:sz w:val="32"/>
          <w:szCs w:val="24"/>
        </w:rPr>
        <w:t>。</w:t>
      </w:r>
    </w:p>
    <w:p>
      <w:pPr>
        <w:pStyle w:val="2"/>
        <w:numPr>
          <w:ilvl w:val="0"/>
          <w:numId w:val="0"/>
        </w:numPr>
        <w:spacing w:line="360" w:lineRule="auto"/>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24"/>
          <w:lang w:val="en-US" w:eastAsia="zh-CN"/>
        </w:rPr>
        <w:t>计算公式：</w:t>
      </w:r>
      <w:r>
        <w:rPr>
          <w:rFonts w:hint="eastAsia" w:ascii="仿宋_GB2312" w:hAnsi="仿宋_GB2312" w:eastAsia="仿宋_GB2312" w:cs="仿宋_GB2312"/>
          <w:b w:val="0"/>
          <w:bCs w:val="0"/>
          <w:sz w:val="32"/>
          <w:szCs w:val="32"/>
          <w:lang w:val="en-US" w:eastAsia="zh-CN"/>
        </w:rPr>
        <w:t>一般工业固体废物综合利用率(%)=一般工业固体废物综合利用量÷(当年一般工业固体废物产生量十综合利用往年贮存量)×100%</w:t>
      </w:r>
      <w:r>
        <w:rPr>
          <w:rFonts w:hint="eastAsia" w:ascii="仿宋_GB2312" w:hAnsi="仿宋_GB2312" w:eastAsia="仿宋_GB2312" w:cs="仿宋_GB2312"/>
          <w:sz w:val="32"/>
          <w:szCs w:val="32"/>
        </w:rPr>
        <w:t>。</w:t>
      </w:r>
    </w:p>
    <w:p>
      <w:pPr>
        <w:pStyle w:val="2"/>
        <w:numPr>
          <w:ilvl w:val="0"/>
          <w:numId w:val="0"/>
        </w:numPr>
        <w:spacing w:line="360" w:lineRule="auto"/>
        <w:ind w:firstLine="640" w:firstLineChars="200"/>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w:t>
      </w:r>
      <w:r>
        <w:rPr>
          <w:rFonts w:hint="eastAsia" w:ascii="仿宋_GB2312" w:hAnsi="仿宋_GB2312" w:eastAsia="仿宋_GB2312" w:cs="仿宋_GB2312"/>
          <w:sz w:val="32"/>
          <w:szCs w:val="24"/>
          <w:lang w:val="en-US" w:eastAsia="zh-CN"/>
        </w:rPr>
        <w:t>5</w:t>
      </w:r>
      <w:r>
        <w:rPr>
          <w:rFonts w:hint="eastAsia" w:ascii="仿宋_GB2312" w:hAnsi="仿宋_GB2312" w:eastAsia="仿宋_GB2312" w:cs="仿宋_GB2312"/>
          <w:sz w:val="32"/>
          <w:szCs w:val="24"/>
          <w:lang w:eastAsia="zh-CN"/>
        </w:rPr>
        <w:t>）再生资源回收利用率</w:t>
      </w:r>
    </w:p>
    <w:p>
      <w:pPr>
        <w:ind w:firstLine="630"/>
        <w:rPr>
          <w:rFonts w:hint="eastAsia" w:ascii="仿宋_GB2312" w:hAnsi="仿宋_GB2312" w:eastAsia="仿宋_GB2312" w:cs="仿宋_GB2312"/>
          <w:b/>
          <w:bCs/>
          <w:sz w:val="32"/>
          <w:szCs w:val="24"/>
          <w:lang w:val="en-US" w:eastAsia="zh-CN"/>
        </w:rPr>
      </w:pPr>
      <w:r>
        <w:rPr>
          <w:rFonts w:hint="eastAsia" w:ascii="仿宋_GB2312" w:hAnsi="仿宋_GB2312" w:eastAsia="仿宋_GB2312" w:cs="仿宋_GB2312"/>
          <w:b/>
          <w:bCs/>
          <w:sz w:val="32"/>
          <w:szCs w:val="24"/>
          <w:lang w:val="en-US" w:eastAsia="zh-CN"/>
        </w:rPr>
        <w:t>指标解释：</w:t>
      </w:r>
      <w:r>
        <w:rPr>
          <w:rFonts w:hint="eastAsia" w:ascii="仿宋_GB2312" w:hAnsi="仿宋_GB2312" w:eastAsia="仿宋_GB2312" w:cs="仿宋_GB2312"/>
          <w:sz w:val="32"/>
          <w:szCs w:val="32"/>
        </w:rPr>
        <w:t>指再生资源的循环利用量与再生资源收集量的比值。再生资源主要包括但不限于废钢铁、废有色金属、废纸、废塑料、废旧纺织品、废旧木材、废旧轮胎、废矿物油、废弃电器电子产品、报废汽车等。</w:t>
      </w:r>
    </w:p>
    <w:p>
      <w:pPr>
        <w:pStyle w:val="2"/>
        <w:numPr>
          <w:ilvl w:val="0"/>
          <w:numId w:val="0"/>
        </w:numPr>
        <w:spacing w:line="360" w:lineRule="auto"/>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24"/>
          <w:lang w:val="en-US" w:eastAsia="zh-CN"/>
        </w:rPr>
        <w:t>计算公式：</w:t>
      </w:r>
      <w:r>
        <w:rPr>
          <w:rFonts w:hint="eastAsia" w:ascii="仿宋_GB2312" w:hAnsi="仿宋_GB2312" w:eastAsia="仿宋_GB2312" w:cs="仿宋_GB2312"/>
          <w:b w:val="0"/>
          <w:bCs w:val="0"/>
          <w:sz w:val="32"/>
          <w:szCs w:val="32"/>
          <w:lang w:val="en-US" w:eastAsia="zh-CN"/>
        </w:rPr>
        <w:t>再生资源回收利用率（%）=再生资源循环利用量/再生资源收集量×100%</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0" w:right="0" w:rightChars="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（三）工业固体废物最终处置指标</w:t>
      </w:r>
    </w:p>
    <w:p>
      <w:pPr>
        <w:pStyle w:val="2"/>
        <w:numPr>
          <w:ilvl w:val="0"/>
          <w:numId w:val="0"/>
        </w:numPr>
        <w:spacing w:line="360" w:lineRule="auto"/>
        <w:ind w:firstLine="640" w:firstLineChars="200"/>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w:t>
      </w:r>
      <w:r>
        <w:rPr>
          <w:rFonts w:hint="eastAsia" w:ascii="仿宋_GB2312" w:hAnsi="仿宋_GB2312" w:eastAsia="仿宋_GB2312" w:cs="仿宋_GB2312"/>
          <w:sz w:val="32"/>
          <w:szCs w:val="24"/>
          <w:lang w:val="en-US" w:eastAsia="zh-CN"/>
        </w:rPr>
        <w:t>6</w:t>
      </w:r>
      <w:r>
        <w:rPr>
          <w:rFonts w:hint="eastAsia" w:ascii="仿宋_GB2312" w:hAnsi="仿宋_GB2312" w:eastAsia="仿宋_GB2312" w:cs="仿宋_GB2312"/>
          <w:sz w:val="32"/>
          <w:szCs w:val="24"/>
          <w:lang w:eastAsia="zh-CN"/>
        </w:rPr>
        <w:t>）一般工业固体废物贮存处置下降幅度</w:t>
      </w:r>
    </w:p>
    <w:p>
      <w:pPr>
        <w:ind w:firstLine="630"/>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lang w:val="en-US" w:eastAsia="zh-CN"/>
        </w:rPr>
        <w:t>指标解释：</w:t>
      </w:r>
      <w:r>
        <w:rPr>
          <w:rFonts w:hint="eastAsia" w:ascii="仿宋_GB2312" w:hAnsi="仿宋_GB2312" w:eastAsia="仿宋_GB2312" w:cs="仿宋_GB2312"/>
          <w:b w:val="0"/>
          <w:bCs w:val="0"/>
          <w:sz w:val="32"/>
          <w:szCs w:val="24"/>
          <w:lang w:val="en-US" w:eastAsia="zh-CN"/>
        </w:rPr>
        <w:t>指当年一般工业固体废物贮存处置量与基准年相比下降的幅度。该指标用于促进减少一般工业固体废物贮存处置量</w:t>
      </w:r>
      <w:r>
        <w:rPr>
          <w:rFonts w:hint="eastAsia" w:ascii="仿宋_GB2312" w:hAnsi="仿宋_GB2312" w:eastAsia="仿宋_GB2312" w:cs="仿宋_GB2312"/>
          <w:sz w:val="32"/>
          <w:szCs w:val="24"/>
        </w:rPr>
        <w:t>。</w:t>
      </w:r>
    </w:p>
    <w:p>
      <w:pPr>
        <w:pStyle w:val="2"/>
        <w:numPr>
          <w:ilvl w:val="0"/>
          <w:numId w:val="0"/>
        </w:numPr>
        <w:spacing w:line="360" w:lineRule="auto"/>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24"/>
          <w:lang w:val="en-US" w:eastAsia="zh-CN"/>
        </w:rPr>
        <w:t>计算公式：</w:t>
      </w:r>
      <w:r>
        <w:rPr>
          <w:rFonts w:hint="eastAsia" w:ascii="仿宋_GB2312" w:hAnsi="仿宋_GB2312" w:eastAsia="仿宋_GB2312" w:cs="仿宋_GB2312"/>
          <w:b w:val="0"/>
          <w:bCs w:val="0"/>
          <w:sz w:val="32"/>
          <w:szCs w:val="32"/>
          <w:lang w:val="en-US" w:eastAsia="zh-CN"/>
        </w:rPr>
        <w:t>一般工业固体废物贮存处置量下降幅度(%)=(基准年一般工业固体废物贮存处置量一评价年一般工业固体废物贮存处置量)÷基准年一般工业固体废物贮存处置量×100%</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0" w:right="0" w:rightChars="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（四）保障能力指标</w:t>
      </w:r>
    </w:p>
    <w:p>
      <w:pPr>
        <w:pStyle w:val="2"/>
        <w:numPr>
          <w:ilvl w:val="0"/>
          <w:numId w:val="0"/>
        </w:numPr>
        <w:spacing w:line="360" w:lineRule="auto"/>
        <w:ind w:firstLine="640" w:firstLineChars="200"/>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w:t>
      </w:r>
      <w:r>
        <w:rPr>
          <w:rFonts w:hint="eastAsia" w:ascii="仿宋_GB2312" w:hAnsi="仿宋_GB2312" w:eastAsia="仿宋_GB2312" w:cs="仿宋_GB2312"/>
          <w:sz w:val="32"/>
          <w:szCs w:val="24"/>
          <w:lang w:val="en-US" w:eastAsia="zh-CN"/>
        </w:rPr>
        <w:t>7</w:t>
      </w:r>
      <w:r>
        <w:rPr>
          <w:rFonts w:hint="eastAsia" w:ascii="仿宋_GB2312" w:hAnsi="仿宋_GB2312" w:eastAsia="仿宋_GB2312" w:cs="仿宋_GB2312"/>
          <w:sz w:val="32"/>
          <w:szCs w:val="24"/>
          <w:lang w:eastAsia="zh-CN"/>
        </w:rPr>
        <w:t>）制度体系建设</w:t>
      </w:r>
    </w:p>
    <w:p>
      <w:pPr>
        <w:ind w:firstLine="630"/>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lang w:val="en-US" w:eastAsia="zh-CN"/>
        </w:rPr>
        <w:t>指标解释：</w:t>
      </w:r>
      <w:r>
        <w:rPr>
          <w:rFonts w:hint="eastAsia" w:ascii="仿宋_GB2312" w:hAnsi="仿宋_GB2312" w:eastAsia="仿宋_GB2312" w:cs="仿宋_GB2312"/>
          <w:b w:val="0"/>
          <w:bCs w:val="0"/>
          <w:sz w:val="32"/>
          <w:szCs w:val="24"/>
          <w:lang w:val="en-US" w:eastAsia="zh-CN"/>
        </w:rPr>
        <w:t>指企业工业资源综合利用相关体系、制度建设情况、企业“无废企业（工厂）”建设组织机构等情况</w:t>
      </w:r>
      <w:r>
        <w:rPr>
          <w:rFonts w:hint="eastAsia" w:ascii="仿宋_GB2312" w:hAnsi="仿宋_GB2312" w:eastAsia="仿宋_GB2312" w:cs="仿宋_GB2312"/>
          <w:sz w:val="32"/>
          <w:szCs w:val="24"/>
        </w:rPr>
        <w:t>。</w:t>
      </w:r>
    </w:p>
    <w:p>
      <w:pPr>
        <w:pStyle w:val="2"/>
        <w:numPr>
          <w:ilvl w:val="0"/>
          <w:numId w:val="0"/>
        </w:numPr>
        <w:spacing w:line="360" w:lineRule="auto"/>
        <w:ind w:firstLine="640" w:firstLineChars="200"/>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w:t>
      </w:r>
      <w:r>
        <w:rPr>
          <w:rFonts w:hint="eastAsia" w:ascii="仿宋_GB2312" w:hAnsi="仿宋_GB2312" w:eastAsia="仿宋_GB2312" w:cs="仿宋_GB2312"/>
          <w:sz w:val="32"/>
          <w:szCs w:val="24"/>
          <w:lang w:val="en-US" w:eastAsia="zh-CN"/>
        </w:rPr>
        <w:t>8</w:t>
      </w:r>
      <w:r>
        <w:rPr>
          <w:rFonts w:hint="eastAsia" w:ascii="仿宋_GB2312" w:hAnsi="仿宋_GB2312" w:eastAsia="仿宋_GB2312" w:cs="仿宋_GB2312"/>
          <w:sz w:val="32"/>
          <w:szCs w:val="24"/>
          <w:lang w:eastAsia="zh-CN"/>
        </w:rPr>
        <w:t>）技术体系建设</w:t>
      </w:r>
    </w:p>
    <w:p>
      <w:pPr>
        <w:ind w:firstLine="630"/>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lang w:val="en-US" w:eastAsia="zh-CN"/>
        </w:rPr>
        <w:t>指标解释：</w:t>
      </w:r>
      <w:r>
        <w:rPr>
          <w:rFonts w:hint="eastAsia" w:ascii="仿宋_GB2312" w:hAnsi="仿宋_GB2312" w:eastAsia="仿宋_GB2312" w:cs="仿宋_GB2312"/>
          <w:b w:val="0"/>
          <w:bCs w:val="0"/>
          <w:sz w:val="32"/>
          <w:szCs w:val="24"/>
          <w:lang w:val="en-US" w:eastAsia="zh-CN"/>
        </w:rPr>
        <w:t>指企业工业固体废物减量化、资源化、无害化技术研究及应用示范等情况</w:t>
      </w:r>
      <w:r>
        <w:rPr>
          <w:rFonts w:hint="eastAsia" w:ascii="仿宋_GB2312" w:hAnsi="仿宋_GB2312" w:eastAsia="仿宋_GB2312" w:cs="仿宋_GB2312"/>
          <w:sz w:val="32"/>
          <w:szCs w:val="24"/>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0" w:right="0" w:rightChars="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（五）群众获得感指标</w:t>
      </w:r>
    </w:p>
    <w:p>
      <w:pPr>
        <w:pStyle w:val="2"/>
        <w:numPr>
          <w:ilvl w:val="0"/>
          <w:numId w:val="0"/>
        </w:numPr>
        <w:spacing w:line="360" w:lineRule="auto"/>
        <w:ind w:firstLine="640" w:firstLineChars="200"/>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w:t>
      </w:r>
      <w:r>
        <w:rPr>
          <w:rFonts w:hint="eastAsia" w:ascii="仿宋_GB2312" w:hAnsi="仿宋_GB2312" w:eastAsia="仿宋_GB2312" w:cs="仿宋_GB2312"/>
          <w:sz w:val="32"/>
          <w:szCs w:val="24"/>
          <w:lang w:val="en-US" w:eastAsia="zh-CN"/>
        </w:rPr>
        <w:t>9</w:t>
      </w:r>
      <w:r>
        <w:rPr>
          <w:rFonts w:hint="eastAsia" w:ascii="仿宋_GB2312" w:hAnsi="仿宋_GB2312" w:eastAsia="仿宋_GB2312" w:cs="仿宋_GB2312"/>
          <w:sz w:val="32"/>
          <w:szCs w:val="24"/>
          <w:lang w:eastAsia="zh-CN"/>
        </w:rPr>
        <w:t>）“无废企业（工厂）”建设教育培训</w:t>
      </w:r>
    </w:p>
    <w:p>
      <w:pPr>
        <w:ind w:firstLine="630"/>
        <w:rPr>
          <w:rFonts w:hint="eastAsia" w:ascii="Calibri" w:hAnsi="Calibri" w:eastAsia="宋体" w:cs="Times New Roman"/>
          <w:b w:val="0"/>
          <w:bCs w:val="0"/>
          <w:sz w:val="21"/>
          <w:szCs w:val="24"/>
          <w:lang w:val="en-US" w:eastAsia="zh-CN"/>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b/>
          <w:bCs/>
          <w:sz w:val="32"/>
          <w:szCs w:val="24"/>
          <w:lang w:val="en-US" w:eastAsia="zh-CN"/>
        </w:rPr>
        <w:t>指标解释：</w:t>
      </w:r>
      <w:r>
        <w:rPr>
          <w:rFonts w:hint="eastAsia" w:ascii="仿宋_GB2312" w:hAnsi="仿宋_GB2312" w:eastAsia="仿宋_GB2312" w:cs="仿宋_GB2312"/>
          <w:b w:val="0"/>
          <w:bCs w:val="0"/>
          <w:sz w:val="32"/>
          <w:szCs w:val="24"/>
          <w:lang w:val="en-US" w:eastAsia="zh-CN"/>
        </w:rPr>
        <w:t>指企业组织以“无废企业（工厂）”为主题的科普活动，定期为员工提供相关知识的教育、培训，并对教育培训的结果进行考评等情况</w:t>
      </w:r>
      <w:r>
        <w:rPr>
          <w:rFonts w:hint="eastAsia" w:ascii="仿宋_GB2312" w:hAnsi="仿宋_GB2312" w:eastAsia="仿宋_GB2312" w:cs="仿宋_GB2312"/>
          <w:sz w:val="32"/>
          <w:szCs w:val="24"/>
        </w:rPr>
        <w:t>。</w:t>
      </w:r>
      <w:bookmarkStart w:id="0" w:name="_GoBack"/>
      <w:bookmarkEnd w:id="0"/>
    </w:p>
    <w:p/>
    <w:sectPr>
      <w:pgSz w:w="11906" w:h="16838"/>
      <w:pgMar w:top="1531" w:right="1417" w:bottom="1531"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kMWY5ZWI0OTRiZTk2M2IwZGQzNmYwYjBiZmZjY2EifQ=="/>
  </w:docVars>
  <w:rsids>
    <w:rsidRoot w:val="5E3F16CF"/>
    <w:rsid w:val="2E461D92"/>
    <w:rsid w:val="5E3F16CF"/>
    <w:rsid w:val="735A1AF6"/>
    <w:rsid w:val="7FE56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before="4" w:beforeLines="0"/>
      <w:ind w:left="166"/>
      <w:jc w:val="both"/>
    </w:pPr>
    <w:rPr>
      <w:rFonts w:hint="eastAsia" w:ascii="宋体" w:hAnsi="宋体" w:eastAsia="宋体" w:cs="Times New Roman"/>
      <w:kern w:val="2"/>
      <w:sz w:val="31"/>
      <w:szCs w:val="22"/>
      <w:lang w:val="en-US" w:eastAsia="zh-CN" w:bidi="ar-SA"/>
    </w:rPr>
  </w:style>
  <w:style w:type="paragraph" w:styleId="3">
    <w:name w:val="List Paragraph"/>
    <w:basedOn w:val="1"/>
    <w:next w:val="1"/>
    <w:qFormat/>
    <w:uiPriority w:val="0"/>
    <w:pPr>
      <w:ind w:left="240" w:firstLine="479"/>
    </w:pPr>
    <w:rPr>
      <w:rFonts w:ascii="宋体" w:hAnsi="宋体" w:eastAsia="宋体" w:cs="宋体"/>
      <w:lang w:val="zh-CN" w:eastAsia="zh-CN" w:bidi="zh-CN"/>
    </w:rPr>
  </w:style>
  <w:style w:type="paragraph" w:styleId="4">
    <w:name w:val="Normal Indent"/>
    <w:basedOn w:val="1"/>
    <w:qFormat/>
    <w:uiPriority w:val="0"/>
    <w:pPr>
      <w:snapToGrid w:val="0"/>
      <w:spacing w:line="360" w:lineRule="auto"/>
      <w:ind w:firstLine="420" w:firstLineChars="200"/>
    </w:pPr>
    <w:rPr>
      <w:rFonts w:ascii="宋体" w:hAnsi="Times New Roman" w:eastAsia="宋体" w:cs="Times New Roman"/>
      <w:kern w:val="0"/>
      <w:sz w:val="24"/>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1466</Words>
  <Characters>1489</Characters>
  <Lines>0</Lines>
  <Paragraphs>0</Paragraphs>
  <TotalTime>0</TotalTime>
  <ScaleCrop>false</ScaleCrop>
  <LinksUpToDate>false</LinksUpToDate>
  <CharactersWithSpaces>1667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2022-08-08T08:59:00Z</dcterms:created>
  <dc:creator>薛尤嘉</dc:creator>
  <cp:lastModifiedBy>薛尤嘉</cp:lastModifiedBy>
  <dcterms:modified xsi:type="dcterms:W3CDTF">2022-08-08T09:00:18Z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96CEF7266D884A14B4C7F96140906A08</vt:lpwstr>
  </property>
</Properties>
</file>