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河北省“</w:t>
      </w:r>
      <w:r>
        <w:rPr>
          <w:rFonts w:hint="eastAsia" w:ascii="宋体" w:hAnsi="宋体" w:cs="宋体"/>
          <w:b/>
          <w:bCs/>
          <w:sz w:val="44"/>
          <w:szCs w:val="44"/>
          <w:lang w:val="en-US" w:eastAsia="zh-CN"/>
        </w:rPr>
        <w:t>无废园区</w:t>
      </w:r>
      <w:r>
        <w:rPr>
          <w:rFonts w:hint="eastAsia" w:ascii="宋体" w:hAnsi="宋体" w:eastAsia="宋体" w:cs="宋体"/>
          <w:b/>
          <w:bCs/>
          <w:sz w:val="44"/>
          <w:szCs w:val="44"/>
          <w:lang w:val="en-US" w:eastAsia="zh-CN"/>
        </w:rPr>
        <w:t>”</w:t>
      </w:r>
      <w:r>
        <w:rPr>
          <w:rFonts w:hint="eastAsia" w:ascii="宋体" w:hAnsi="宋体" w:cs="宋体"/>
          <w:b/>
          <w:bCs/>
          <w:sz w:val="44"/>
          <w:szCs w:val="44"/>
          <w:lang w:val="en-US" w:eastAsia="zh-CN"/>
        </w:rPr>
        <w:t>评价指标</w:t>
      </w:r>
    </w:p>
    <w:p>
      <w:pPr>
        <w:widowControl w:val="0"/>
        <w:wordWrap/>
        <w:adjustRightInd/>
        <w:snapToGrid/>
        <w:spacing w:after="0" w:line="560" w:lineRule="exact"/>
        <w:ind w:firstLine="883" w:firstLineChars="200"/>
        <w:jc w:val="left"/>
        <w:textAlignment w:val="auto"/>
        <w:rPr>
          <w:rFonts w:hint="default" w:ascii="宋体" w:hAnsi="宋体" w:eastAsia="宋体" w:cs="宋体"/>
          <w:b/>
          <w:bCs/>
          <w:sz w:val="44"/>
          <w:szCs w:val="44"/>
          <w:lang w:val="en-US" w:eastAsia="zh-CN"/>
        </w:rPr>
      </w:pPr>
    </w:p>
    <w:p>
      <w:pPr>
        <w:widowControl w:val="0"/>
        <w:numPr>
          <w:ilvl w:val="0"/>
          <w:numId w:val="1"/>
        </w:numPr>
        <w:wordWrap/>
        <w:adjustRightInd/>
        <w:snapToGrid/>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适用范围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本文件规定了河北省“无废园区”的评价指标和指标计算方法，适用于河北省“无废园区”申报、评价及管理。</w:t>
      </w:r>
      <w:r>
        <w:rPr>
          <w:rFonts w:hint="eastAsia" w:ascii="仿宋" w:hAnsi="仿宋" w:eastAsia="仿宋" w:cs="仿宋"/>
          <w:sz w:val="32"/>
          <w:szCs w:val="32"/>
          <w:highlight w:val="none"/>
          <w:lang w:val="en-US" w:eastAsia="zh-CN"/>
        </w:rPr>
        <w:t>已列入国家或省级绿色园区名单的予以优先支持。</w:t>
      </w:r>
    </w:p>
    <w:p>
      <w:pPr>
        <w:widowControl w:val="0"/>
        <w:numPr>
          <w:ilvl w:val="0"/>
          <w:numId w:val="1"/>
        </w:numPr>
        <w:wordWrap/>
        <w:adjustRightInd/>
        <w:snapToGrid/>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评价指标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“无废园区”评价指标体系包括工业固体废物源头减量指标、工业固体废物资源化利用指标、工业固体废物最终处置指标、园区保障能力指标、群众获得感指标5个方面，具体如表1.1所示。</w:t>
      </w:r>
    </w:p>
    <w:p>
      <w:pPr>
        <w:pStyle w:val="4"/>
        <w:jc w:val="center"/>
        <w:rPr>
          <w:rFonts w:hint="default"/>
          <w:lang w:val="en-US" w:eastAsia="zh-CN"/>
        </w:rPr>
      </w:pPr>
      <w:r>
        <w:rPr>
          <w:rFonts w:hint="eastAsia" w:ascii="黑体" w:hAnsi="黑体" w:eastAsia="黑体" w:cs="黑体"/>
          <w:lang w:val="en-US" w:eastAsia="zh-CN"/>
        </w:rPr>
        <w:t>表1.1  “无废园区”评价指标体系</w:t>
      </w:r>
    </w:p>
    <w:tbl>
      <w:tblPr>
        <w:tblStyle w:val="5"/>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10"/>
        <w:gridCol w:w="2985"/>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一级指标</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二级指标</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rPr>
              <w:t>指标要</w:t>
            </w:r>
            <w:r>
              <w:rPr>
                <w:rFonts w:hint="eastAsia" w:ascii="仿宋_GB2312" w:hAnsi="仿宋_GB2312" w:eastAsia="仿宋_GB2312" w:cs="仿宋_GB2312"/>
                <w:color w:val="auto"/>
                <w:spacing w:val="6"/>
                <w:sz w:val="24"/>
                <w:szCs w:val="24"/>
                <w:lang w:val="en-US"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p>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rPr>
              <w:t>源头减量</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4"/>
                <w:sz w:val="24"/>
                <w:szCs w:val="24"/>
                <w:lang w:val="en-US" w:eastAsia="zh-CN"/>
              </w:rPr>
            </w:pPr>
            <w:r>
              <w:rPr>
                <w:rFonts w:hint="eastAsia" w:ascii="仿宋_GB2312" w:hAnsi="仿宋_GB2312" w:eastAsia="仿宋_GB2312" w:cs="仿宋_GB2312"/>
                <w:color w:val="auto"/>
                <w:spacing w:val="4"/>
                <w:sz w:val="24"/>
                <w:szCs w:val="24"/>
                <w:lang w:val="en-US" w:eastAsia="zh-CN"/>
              </w:rPr>
              <w:t>园区产业链实施情况</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lang w:val="en-US" w:eastAsia="zh-CN"/>
              </w:rPr>
              <w:t>已实施或拟实施一项园区内消纳工业固废的产业链衔接性项目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4"/>
                <w:sz w:val="24"/>
                <w:szCs w:val="24"/>
              </w:rPr>
              <w:t>工业固</w:t>
            </w:r>
            <w:r>
              <w:rPr>
                <w:rFonts w:hint="eastAsia" w:ascii="仿宋_GB2312" w:hAnsi="仿宋_GB2312" w:eastAsia="仿宋_GB2312" w:cs="仿宋_GB2312"/>
                <w:color w:val="auto"/>
                <w:spacing w:val="-2"/>
                <w:sz w:val="24"/>
                <w:szCs w:val="24"/>
              </w:rPr>
              <w:t>体废物产生</w:t>
            </w:r>
            <w:r>
              <w:rPr>
                <w:rFonts w:hint="eastAsia" w:ascii="仿宋_GB2312" w:hAnsi="仿宋_GB2312" w:eastAsia="仿宋_GB2312" w:cs="仿宋_GB2312"/>
                <w:color w:val="auto"/>
                <w:spacing w:val="7"/>
                <w:sz w:val="24"/>
                <w:szCs w:val="24"/>
              </w:rPr>
              <w:t>强度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3"/>
                <w:sz w:val="24"/>
                <w:szCs w:val="24"/>
                <w:lang w:val="en-US" w:eastAsia="zh-CN"/>
              </w:rPr>
              <w:t>零增长或</w:t>
            </w:r>
            <w:r>
              <w:rPr>
                <w:rFonts w:hint="eastAsia" w:ascii="仿宋_GB2312" w:hAnsi="仿宋_GB2312" w:eastAsia="仿宋_GB2312" w:cs="仿宋_GB2312"/>
                <w:color w:val="auto"/>
                <w:spacing w:val="3"/>
                <w:sz w:val="24"/>
                <w:szCs w:val="24"/>
              </w:rPr>
              <w:t>逐年降低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通过清洁生产审核评估</w:t>
            </w:r>
          </w:p>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3"/>
                <w:sz w:val="24"/>
                <w:szCs w:val="24"/>
              </w:rPr>
              <w:t>工业企业</w:t>
            </w:r>
            <w:r>
              <w:rPr>
                <w:rFonts w:hint="eastAsia" w:ascii="仿宋_GB2312" w:hAnsi="仿宋_GB2312" w:eastAsia="仿宋_GB2312" w:cs="仿宋_GB2312"/>
                <w:color w:val="auto"/>
                <w:spacing w:val="3"/>
                <w:sz w:val="24"/>
                <w:szCs w:val="24"/>
                <w:lang w:val="en-US" w:eastAsia="zh-CN"/>
              </w:rPr>
              <w:t>占比</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rPr>
              <w:t>重点行业清洁生产审核实现</w:t>
            </w:r>
            <w:r>
              <w:rPr>
                <w:rFonts w:hint="eastAsia" w:ascii="仿宋_GB2312" w:hAnsi="仿宋_GB2312" w:eastAsia="仿宋_GB2312" w:cs="仿宋_GB2312"/>
                <w:color w:val="auto"/>
                <w:spacing w:val="2"/>
                <w:sz w:val="24"/>
                <w:szCs w:val="24"/>
              </w:rPr>
              <w:t xml:space="preserve"> </w:t>
            </w:r>
            <w:r>
              <w:rPr>
                <w:rFonts w:hint="eastAsia" w:ascii="仿宋_GB2312" w:hAnsi="仿宋_GB2312" w:eastAsia="仿宋_GB2312" w:cs="仿宋_GB2312"/>
                <w:color w:val="auto"/>
                <w:spacing w:val="1"/>
                <w:sz w:val="24"/>
                <w:szCs w:val="24"/>
              </w:rPr>
              <w:t>100%覆盖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2"/>
                <w:sz w:val="24"/>
                <w:szCs w:val="24"/>
              </w:rPr>
              <w:t>开展绿色工</w:t>
            </w:r>
            <w:r>
              <w:rPr>
                <w:rFonts w:hint="eastAsia" w:ascii="仿宋_GB2312" w:hAnsi="仿宋_GB2312" w:eastAsia="仿宋_GB2312" w:cs="仿宋_GB2312"/>
                <w:color w:val="auto"/>
                <w:spacing w:val="-3"/>
                <w:sz w:val="24"/>
                <w:szCs w:val="24"/>
              </w:rPr>
              <w:t>厂建设的</w:t>
            </w:r>
          </w:p>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3"/>
                <w:sz w:val="24"/>
                <w:szCs w:val="24"/>
              </w:rPr>
              <w:t>企</w:t>
            </w:r>
            <w:r>
              <w:rPr>
                <w:rFonts w:hint="eastAsia" w:ascii="仿宋_GB2312" w:hAnsi="仿宋_GB2312" w:eastAsia="仿宋_GB2312" w:cs="仿宋_GB2312"/>
                <w:color w:val="auto"/>
                <w:spacing w:val="4"/>
                <w:sz w:val="24"/>
                <w:szCs w:val="24"/>
              </w:rPr>
              <w:t>业数量</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占比不低于10 %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z w:val="24"/>
                <w:szCs w:val="24"/>
              </w:rPr>
              <w:t>固体废物</w:t>
            </w:r>
            <w:r>
              <w:rPr>
                <w:rFonts w:hint="eastAsia" w:ascii="仿宋_GB2312" w:hAnsi="仿宋_GB2312" w:eastAsia="仿宋_GB2312" w:cs="仿宋_GB2312"/>
                <w:color w:val="auto"/>
                <w:spacing w:val="3"/>
                <w:sz w:val="24"/>
                <w:szCs w:val="24"/>
              </w:rPr>
              <w:t>资源化利</w:t>
            </w:r>
            <w:r>
              <w:rPr>
                <w:rFonts w:hint="eastAsia" w:ascii="仿宋_GB2312" w:hAnsi="仿宋_GB2312" w:eastAsia="仿宋_GB2312" w:cs="仿宋_GB2312"/>
                <w:color w:val="auto"/>
                <w:sz w:val="24"/>
                <w:szCs w:val="24"/>
              </w:rPr>
              <w:t>用</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4"/>
                <w:sz w:val="24"/>
                <w:szCs w:val="24"/>
              </w:rPr>
              <w:t>工业固</w:t>
            </w:r>
            <w:r>
              <w:rPr>
                <w:rFonts w:hint="eastAsia" w:ascii="仿宋_GB2312" w:hAnsi="仿宋_GB2312" w:eastAsia="仿宋_GB2312" w:cs="仿宋_GB2312"/>
                <w:color w:val="auto"/>
                <w:spacing w:val="-2"/>
                <w:sz w:val="24"/>
                <w:szCs w:val="24"/>
              </w:rPr>
              <w:t>体废物综合</w:t>
            </w:r>
            <w:r>
              <w:rPr>
                <w:rFonts w:hint="eastAsia" w:ascii="仿宋_GB2312" w:hAnsi="仿宋_GB2312" w:eastAsia="仿宋_GB2312" w:cs="仿宋_GB2312"/>
                <w:color w:val="auto"/>
                <w:spacing w:val="5"/>
                <w:sz w:val="24"/>
                <w:szCs w:val="24"/>
              </w:rPr>
              <w:t>利用率</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不低于60%，且（或）逐年提高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2"/>
                <w:sz w:val="24"/>
                <w:szCs w:val="24"/>
                <w:lang w:val="en-US" w:eastAsia="zh-CN"/>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再生资源回收利用率</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r>
              <w:rPr>
                <w:rFonts w:hint="eastAsia" w:ascii="仿宋_GB2312" w:hAnsi="仿宋_GB2312" w:eastAsia="仿宋_GB2312" w:cs="仿宋_GB2312"/>
                <w:color w:val="auto"/>
                <w:spacing w:val="-3"/>
                <w:sz w:val="24"/>
                <w:szCs w:val="24"/>
              </w:rPr>
              <w:t>最终处置</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4"/>
                <w:sz w:val="24"/>
                <w:szCs w:val="24"/>
              </w:rPr>
              <w:t>一般工业固</w:t>
            </w:r>
            <w:r>
              <w:rPr>
                <w:rFonts w:hint="eastAsia" w:ascii="仿宋_GB2312" w:hAnsi="仿宋_GB2312" w:eastAsia="仿宋_GB2312" w:cs="仿宋_GB2312"/>
                <w:color w:val="auto"/>
                <w:spacing w:val="-2"/>
                <w:sz w:val="24"/>
                <w:szCs w:val="24"/>
              </w:rPr>
              <w:t>体废物贮存</w:t>
            </w:r>
            <w:r>
              <w:rPr>
                <w:rFonts w:hint="eastAsia" w:ascii="仿宋_GB2312" w:hAnsi="仿宋_GB2312" w:eastAsia="仿宋_GB2312" w:cs="仿宋_GB2312"/>
                <w:color w:val="auto"/>
                <w:spacing w:val="1"/>
                <w:sz w:val="24"/>
                <w:szCs w:val="24"/>
              </w:rPr>
              <w:t xml:space="preserve"> 处置下降幅</w:t>
            </w:r>
            <w:r>
              <w:rPr>
                <w:rFonts w:hint="eastAsia" w:ascii="仿宋_GB2312" w:hAnsi="仿宋_GB2312" w:eastAsia="仿宋_GB2312" w:cs="仿宋_GB2312"/>
                <w:color w:val="auto"/>
                <w:spacing w:val="11"/>
                <w:sz w:val="24"/>
                <w:szCs w:val="24"/>
              </w:rPr>
              <w:t>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lang w:val="en-US" w:eastAsia="zh-CN"/>
              </w:rPr>
              <w:t>零增长或</w:t>
            </w:r>
            <w:r>
              <w:rPr>
                <w:rFonts w:hint="eastAsia" w:ascii="仿宋_GB2312" w:hAnsi="仿宋_GB2312" w:eastAsia="仿宋_GB2312" w:cs="仿宋_GB2312"/>
                <w:color w:val="auto"/>
                <w:spacing w:val="-2"/>
                <w:sz w:val="24"/>
                <w:szCs w:val="24"/>
              </w:rPr>
              <w:t>逐年下降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园区保障能力</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制度体系建设</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技术体系建设</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监管体系建设</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群众获得感</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w:t>
            </w:r>
            <w:r>
              <w:rPr>
                <w:rFonts w:hint="eastAsia" w:ascii="仿宋_GB2312" w:hAnsi="仿宋_GB2312" w:eastAsia="仿宋_GB2312" w:cs="仿宋_GB2312"/>
                <w:color w:val="auto"/>
                <w:sz w:val="24"/>
                <w:szCs w:val="24"/>
                <w:vertAlign w:val="baseline"/>
                <w:lang w:eastAsia="zh-CN"/>
              </w:rPr>
              <w:t>无废园区</w:t>
            </w:r>
            <w:r>
              <w:rPr>
                <w:rFonts w:hint="eastAsia" w:ascii="仿宋_GB2312" w:hAnsi="仿宋_GB2312" w:eastAsia="仿宋_GB2312" w:cs="仿宋_GB2312"/>
                <w:color w:val="auto"/>
                <w:sz w:val="24"/>
                <w:szCs w:val="24"/>
                <w:vertAlign w:val="baseline"/>
              </w:rPr>
              <w:t>”建设</w:t>
            </w:r>
          </w:p>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宣传教育</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评价指标解释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color w:val="auto"/>
          <w:sz w:val="32"/>
          <w:szCs w:val="32"/>
          <w:lang w:val="en-US" w:eastAsia="zh-CN"/>
        </w:rPr>
        <w:t>工业固体废物源头减量指标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园区产业链实施情况</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指园区已实施或拟实施产业链招商、补链招商，建设和引进关键链接项目情况。</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工业固体废物产生强度</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指纳入固体废物申报登记范围的工业企业,每万元工业增加值的一般工业固体废物产生量。该指标是用于促进全面降低一般工业固体废物产生强度的综合性指标。</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一般工业固体废物产生强度=一般工业固体废物产生量÷工业增加值</w:t>
      </w:r>
      <w:r>
        <w:rPr>
          <w:rFonts w:hint="eastAsia" w:ascii="仿宋_GB2312" w:hAnsi="仿宋_GB2312" w:eastAsia="仿宋_GB2312" w:cs="仿宋_GB2312"/>
          <w:sz w:val="32"/>
          <w:szCs w:val="32"/>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通过清洁生产审核评估工业企业占比</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需开展清洁生产审核评估的工业企业中,按《清洁生产审核评估与验收指南》(环办科技〔2018〕5号)要求通过审核评估的工业企业数量占比。应重点抓好钢铁、建材、有色、化工、石化、电力、煤炭等行业清洁生产审核。该指标用于促进企业实施清洁生产,从源头控制资源和能源消耗, 提高资源利用效率,削减固体废物产生量,减少进入最终处置环节的固体废物量。</w:t>
      </w:r>
    </w:p>
    <w:p>
      <w:pPr>
        <w:pStyle w:val="2"/>
        <w:numPr>
          <w:ilvl w:val="0"/>
          <w:numId w:val="0"/>
        </w:num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通过清洁生产审核评估工业企业占比(%)=通过清洁生产审核评估的工业企业数量÷需开展清洁生产审核评估的工业企业数量×100%</w:t>
      </w:r>
      <w:r>
        <w:rPr>
          <w:rFonts w:hint="eastAsia" w:ascii="仿宋_GB2312" w:hAnsi="仿宋_GB2312" w:eastAsia="仿宋_GB2312" w:cs="仿宋_GB2312"/>
          <w:sz w:val="32"/>
          <w:szCs w:val="32"/>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开展绿色工厂建设的企业数量</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绿色工厂是指按照《绿色工厂评价通则》(GB/T 36132)和相关行业绿色工厂评价导则,实现了用地集约化、原料无害化、生产洁净化、废物资源化、能源低碳化的工厂,包括国家级、省级等各级绿色工厂。该指标用于促进工厂减少有害原材料的使用,提高原材料使用效率和工业固体废物综合利用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工业固体废物资源化利用指标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工业固体废物综合利用率</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指一般工业固体废物综合利用量与一般工业固体废物产生量(包括综合利用往年贮存量)的比率。该指标用于促进一般工业固体废物综合利用,减少工业资源、能源消耗</w:t>
      </w:r>
      <w:r>
        <w:rPr>
          <w:rFonts w:hint="eastAsia" w:ascii="仿宋_GB2312" w:hAnsi="仿宋_GB2312" w:eastAsia="仿宋_GB2312" w:cs="仿宋_GB2312"/>
          <w:sz w:val="32"/>
          <w:szCs w:val="24"/>
        </w:rPr>
        <w:t>。</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一般工业固体废物综合利用率(%)=一般工业固体废物综合利用量÷(当年一般工业固体废物产生量十综合利用往年贮存量)×100%</w:t>
      </w:r>
      <w:r>
        <w:rPr>
          <w:rFonts w:hint="eastAsia" w:ascii="仿宋_GB2312" w:hAnsi="仿宋_GB2312" w:eastAsia="仿宋_GB2312" w:cs="仿宋_GB2312"/>
          <w:sz w:val="32"/>
          <w:szCs w:val="32"/>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再生资源回收利用率</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适用于再生资源类园区，指园区内再生资源的循环利用量与再生资源收集量的比值。再生资源主要包括但不限于废钢铁、废有色金属、废纸、废塑料、废旧纺织品、废旧木材、废旧轮胎、废矿物油、废弃电器电子产品、报废汽车等。</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再生资源回收利用率（%）=再生资源循环利用量/再生资源收集量×100%</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工业固体废物最终处置指标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一般工业固体废物贮存处置下降幅度</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指当年一般工业固体废物贮存处置量与基准年相比下降的幅度。该指标用于促进减少一般工业固体废物贮存处置量</w:t>
      </w:r>
      <w:r>
        <w:rPr>
          <w:rFonts w:hint="eastAsia" w:ascii="仿宋_GB2312" w:hAnsi="仿宋_GB2312" w:eastAsia="仿宋_GB2312" w:cs="仿宋_GB2312"/>
          <w:sz w:val="32"/>
          <w:szCs w:val="24"/>
        </w:rPr>
        <w:t>。</w:t>
      </w:r>
    </w:p>
    <w:p>
      <w:pPr>
        <w:pStyle w:val="2"/>
        <w:numPr>
          <w:ilvl w:val="0"/>
          <w:numId w:val="0"/>
        </w:num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一般工业固体废物贮存处置量下降幅度(%)=(基准年一般工业固体废物贮存处置量一评价年一般工业固体废物贮存处置量)÷基准年一般工业固体废物贮存处置量×100%</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园区保障能力指标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制度体系建设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指园区推动固体废物在园区内、厂区内协同循环利用，提高固废就地资源化效率等制定的相关标准体系、制度的建设及“无废园区”发展规划的编制情况等</w:t>
      </w:r>
      <w:r>
        <w:rPr>
          <w:rFonts w:hint="eastAsia" w:ascii="仿宋_GB2312" w:hAnsi="仿宋_GB2312" w:eastAsia="仿宋_GB2312" w:cs="仿宋_GB2312"/>
          <w:sz w:val="32"/>
          <w:szCs w:val="24"/>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技术体系建设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指园区推动固体废物在园区内、厂区内协同循环利用，提高固废就地资源化效率等而建设的园区信息平台情况</w:t>
      </w:r>
      <w:r>
        <w:rPr>
          <w:rFonts w:hint="eastAsia" w:ascii="仿宋_GB2312" w:hAnsi="仿宋_GB2312" w:eastAsia="仿宋_GB2312" w:cs="仿宋_GB2312"/>
          <w:sz w:val="32"/>
          <w:szCs w:val="24"/>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监管体系建设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指园区依法及时公开固体废物污染环境防治信息，主动接受社会监督等情况</w:t>
      </w:r>
      <w:r>
        <w:rPr>
          <w:rFonts w:hint="eastAsia" w:ascii="仿宋_GB2312" w:hAnsi="仿宋_GB2312" w:eastAsia="仿宋_GB2312" w:cs="仿宋_GB2312"/>
          <w:sz w:val="32"/>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群众获得感指标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“无废园区”建设宣传教育</w:t>
      </w:r>
    </w:p>
    <w:p>
      <w:pPr>
        <w:ind w:firstLine="630"/>
        <w:rPr>
          <w:rFonts w:hint="eastAsia" w:ascii="Calibri" w:hAnsi="Calibri" w:eastAsia="宋体" w:cs="Times New Roman"/>
          <w:b w:val="0"/>
          <w:bCs w:val="0"/>
          <w:sz w:val="21"/>
          <w:szCs w:val="24"/>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指园区组织以“无废园区”为主题的科普活动，设置宣传栏或相关海报、显示屏等，定期更新“无废园区”宣讲知识等情况</w:t>
      </w:r>
      <w:r>
        <w:rPr>
          <w:rFonts w:hint="eastAsia" w:ascii="仿宋_GB2312" w:hAnsi="仿宋_GB2312" w:eastAsia="仿宋_GB2312" w:cs="仿宋_GB2312"/>
          <w:sz w:val="32"/>
          <w:szCs w:val="24"/>
        </w:rPr>
        <w:t>。</w:t>
      </w:r>
      <w:bookmarkStart w:id="0" w:name="_GoBack"/>
      <w:bookmarkEnd w:id="0"/>
    </w:p>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rPr>
        <w:rFonts w:hint="eastAsia"/>
      </w:rPr>
    </w:lvl>
  </w:abstractNum>
  <w:abstractNum w:abstractNumId="1">
    <w:nsid w:val="00000009"/>
    <w:multiLevelType w:val="singleLevel"/>
    <w:tmpl w:val="00000009"/>
    <w:lvl w:ilvl="0" w:tentative="0">
      <w:start w:val="1"/>
      <w:numFmt w:val="decimal"/>
      <w:suff w:val="nothing"/>
      <w:lvlText w:val="（%1）"/>
      <w:lvlJc w:val="left"/>
    </w:lvl>
  </w:abstractNum>
  <w:abstractNum w:abstractNumId="2">
    <w:nsid w:val="0000000A"/>
    <w:multiLevelType w:val="singleLevel"/>
    <w:tmpl w:val="0000000A"/>
    <w:lvl w:ilvl="0" w:tentative="0">
      <w:start w:val="1"/>
      <w:numFmt w:val="chineseCounting"/>
      <w:suff w:val="nothing"/>
      <w:lvlText w:val="（%1）"/>
      <w:lvlJc w:val="left"/>
      <w:pPr>
        <w:tabs>
          <w:tab w:val="left" w:pos="0"/>
        </w:tabs>
        <w:ind w:left="-64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5E3F16CF"/>
    <w:rsid w:val="5E3F16CF"/>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4" w:beforeLines="0"/>
      <w:ind w:left="166"/>
      <w:jc w:val="both"/>
    </w:pPr>
    <w:rPr>
      <w:rFonts w:hint="eastAsia" w:ascii="宋体" w:hAnsi="宋体" w:eastAsia="宋体" w:cs="Times New Roman"/>
      <w:kern w:val="2"/>
      <w:sz w:val="31"/>
      <w:szCs w:val="22"/>
      <w:lang w:val="en-US" w:eastAsia="zh-CN" w:bidi="ar-SA"/>
    </w:rPr>
  </w:style>
  <w:style w:type="paragraph" w:styleId="3">
    <w:name w:val="List Paragraph"/>
    <w:basedOn w:val="1"/>
    <w:next w:val="1"/>
    <w:qFormat/>
    <w:uiPriority w:val="0"/>
    <w:pPr>
      <w:ind w:left="240" w:firstLine="479"/>
    </w:pPr>
    <w:rPr>
      <w:rFonts w:ascii="宋体" w:hAnsi="宋体" w:eastAsia="宋体" w:cs="宋体"/>
      <w:lang w:val="zh-CN" w:eastAsia="zh-CN" w:bidi="zh-CN"/>
    </w:rPr>
  </w:style>
  <w:style w:type="paragraph" w:styleId="4">
    <w:name w:val="Normal Indent"/>
    <w:basedOn w:val="1"/>
    <w:qFormat/>
    <w:uiPriority w:val="0"/>
    <w:pPr>
      <w:snapToGrid w:val="0"/>
      <w:spacing w:line="360" w:lineRule="auto"/>
      <w:ind w:firstLine="420" w:firstLineChars="200"/>
    </w:pPr>
    <w:rPr>
      <w:rFonts w:ascii="宋体" w:hAnsi="Times New Roman" w:eastAsia="宋体" w:cs="Times New Roman"/>
      <w:kern w:val="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2022-08-08T08:59:00Z</dcterms:created>
  <dc:creator>薛尤嘉</dc:creator>
  <cp:lastModifiedBy>薛尤嘉</cp:lastModifiedBy>
  <dcterms:modified xsi:type="dcterms:W3CDTF">2022-08-08T08:59:34Z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903558030B2A4DA88E60946D228BDF67</vt:lpwstr>
  </property>
</Properties>
</file>