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widowControl w:val="0"/>
        <w:wordWrap/>
        <w:adjustRightInd/>
        <w:snapToGrid/>
        <w:spacing w:after="0" w:line="560" w:lineRule="exact"/>
        <w:ind w:firstLine="0" w:firstLineChars="0"/>
        <w:jc w:val="both"/>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无废园区</w:t>
      </w:r>
      <w:r>
        <w:rPr>
          <w:rFonts w:hint="eastAsia" w:ascii="宋体" w:hAnsi="宋体" w:eastAsia="宋体" w:cs="宋体"/>
          <w:b/>
          <w:bCs/>
          <w:sz w:val="44"/>
          <w:szCs w:val="44"/>
          <w:lang w:val="en-US" w:eastAsia="zh-CN"/>
        </w:rPr>
        <w:t>”申报书</w:t>
      </w:r>
    </w:p>
    <w:p>
      <w:pPr>
        <w:widowControl w:val="0"/>
        <w:wordWrap/>
        <w:autoSpaceDN w:val="0"/>
        <w:adjustRightInd/>
        <w:snapToGrid/>
        <w:spacing w:after="0" w:line="540" w:lineRule="exact"/>
        <w:ind w:firstLine="643" w:firstLineChars="200"/>
        <w:jc w:val="both"/>
        <w:textAlignment w:val="auto"/>
        <w:rPr>
          <w:rFonts w:hint="eastAsia" w:ascii="Times New Roman" w:hAnsi="Times New Roman" w:eastAsia="楷体" w:cs="Times New Roman"/>
          <w:b/>
          <w:bCs w:val="0"/>
          <w:sz w:val="32"/>
          <w:szCs w:val="32"/>
        </w:rPr>
      </w:pPr>
    </w:p>
    <w:p>
      <w:pPr>
        <w:keepNext w:val="0"/>
        <w:keepLines w:val="0"/>
        <w:pageBreakBefore w:val="0"/>
        <w:widowControl w:val="0"/>
        <w:kinsoku/>
        <w:wordWrap/>
        <w:overflowPunct/>
        <w:topLinePunct w:val="0"/>
        <w:autoSpaceDE/>
        <w:autoSpaceDN w:val="0"/>
        <w:bidi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pStyle w:val="4"/>
        <w:rPr>
          <w:rFonts w:hint="eastAsia" w:ascii="Times New Roman" w:hAnsi="Times New Roman" w:eastAsia="楷体" w:cs="Times New Roman"/>
          <w:b/>
          <w:bCs w:val="0"/>
          <w:sz w:val="32"/>
          <w:szCs w:val="32"/>
          <w:lang w:eastAsia="zh-CN"/>
        </w:rPr>
      </w:pPr>
    </w:p>
    <w:p>
      <w:pPr>
        <w:spacing w:line="560" w:lineRule="exact"/>
        <w:ind w:firstLine="1606" w:firstLineChars="500"/>
        <w:contextualSpacing/>
        <w:jc w:val="left"/>
        <w:rPr>
          <w:rFonts w:hint="default" w:ascii="宋体" w:hAnsi="宋体" w:eastAsia="宋体" w:cs="宋体"/>
          <w:b/>
          <w:bCs/>
          <w:sz w:val="32"/>
          <w:szCs w:val="32"/>
          <w:lang w:val="en-US" w:eastAsia="zh-CN"/>
        </w:rPr>
      </w:pPr>
      <w:r>
        <w:rPr>
          <w:rFonts w:hint="eastAsia" w:ascii="宋体" w:hAnsi="宋体" w:cs="宋体"/>
          <w:b/>
          <w:bCs/>
          <w:sz w:val="32"/>
          <w:szCs w:val="32"/>
        </w:rPr>
        <w:t>申报单位：</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lang w:val="en-US" w:eastAsia="zh-CN"/>
        </w:rPr>
        <w:t xml:space="preserve">                      </w:t>
      </w:r>
    </w:p>
    <w:p>
      <w:pPr>
        <w:spacing w:line="560" w:lineRule="exact"/>
        <w:ind w:left="1682" w:leftChars="801" w:firstLine="215" w:firstLineChars="67"/>
        <w:contextualSpacing/>
        <w:jc w:val="center"/>
        <w:rPr>
          <w:rFonts w:hint="eastAsia" w:ascii="宋体" w:hAnsi="宋体" w:cs="宋体"/>
          <w:b/>
          <w:bCs/>
          <w:sz w:val="32"/>
          <w:szCs w:val="32"/>
        </w:rPr>
      </w:pPr>
    </w:p>
    <w:p>
      <w:pPr>
        <w:spacing w:line="560" w:lineRule="exact"/>
        <w:ind w:firstLine="1606" w:firstLineChars="500"/>
        <w:contextualSpacing/>
        <w:jc w:val="both"/>
        <w:rPr>
          <w:rFonts w:hint="default" w:ascii="宋体" w:hAnsi="宋体" w:eastAsia="宋体" w:cs="宋体"/>
          <w:b/>
          <w:bCs/>
          <w:sz w:val="32"/>
          <w:szCs w:val="32"/>
          <w:lang w:val="en-US" w:eastAsia="zh-CN"/>
        </w:rPr>
      </w:pPr>
      <w:r>
        <w:rPr>
          <w:rFonts w:hint="eastAsia" w:ascii="宋体" w:hAnsi="宋体" w:cs="宋体"/>
          <w:b/>
          <w:bCs/>
          <w:sz w:val="32"/>
          <w:szCs w:val="32"/>
        </w:rPr>
        <w:t>所属市、县</w:t>
      </w:r>
      <w:r>
        <w:rPr>
          <w:rFonts w:hint="eastAsia" w:ascii="宋体" w:hAnsi="宋体" w:cs="宋体"/>
          <w:b/>
          <w:bCs/>
          <w:sz w:val="32"/>
          <w:szCs w:val="32"/>
          <w:lang w:eastAsia="zh-CN"/>
        </w:rPr>
        <w:t>：</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p>
    <w:p>
      <w:pPr>
        <w:spacing w:line="560" w:lineRule="exact"/>
        <w:ind w:left="1682" w:leftChars="801" w:firstLine="215" w:firstLineChars="67"/>
        <w:contextualSpacing/>
        <w:rPr>
          <w:rFonts w:hint="eastAsia" w:ascii="宋体" w:hAnsi="宋体" w:cs="宋体"/>
          <w:b/>
          <w:bCs/>
          <w:sz w:val="32"/>
          <w:szCs w:val="32"/>
        </w:rPr>
      </w:pPr>
    </w:p>
    <w:p>
      <w:pPr>
        <w:spacing w:line="560" w:lineRule="exact"/>
        <w:ind w:firstLine="1606" w:firstLineChars="500"/>
        <w:contextualSpacing/>
        <w:rPr>
          <w:rFonts w:hint="default" w:ascii="宋体" w:hAnsi="宋体" w:eastAsia="宋体" w:cs="宋体"/>
          <w:b/>
          <w:bCs/>
          <w:sz w:val="32"/>
          <w:szCs w:val="32"/>
          <w:lang w:val="en-US" w:eastAsia="zh-CN"/>
        </w:rPr>
      </w:pPr>
      <w:r>
        <w:rPr>
          <w:rFonts w:hint="eastAsia" w:ascii="宋体" w:hAnsi="宋体" w:cs="宋体"/>
          <w:b/>
          <w:bCs/>
          <w:sz w:val="32"/>
          <w:szCs w:val="32"/>
        </w:rPr>
        <w:t>申报日期：</w:t>
      </w:r>
      <w:r>
        <w:rPr>
          <w:rFonts w:hint="eastAsia" w:ascii="宋体" w:hAnsi="宋体" w:cs="宋体"/>
          <w:b/>
          <w:bCs/>
          <w:sz w:val="32"/>
          <w:szCs w:val="32"/>
          <w:u w:val="single"/>
          <w:lang w:eastAsia="zh-CN"/>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p>
    <w:p>
      <w:pPr>
        <w:pStyle w:val="4"/>
        <w:rPr>
          <w:rFonts w:hint="default" w:ascii="Times New Roman" w:hAnsi="Times New Roman" w:eastAsia="楷体" w:cs="Times New Roman"/>
          <w:b/>
          <w:bCs w:val="0"/>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val="0"/>
        <w:bidi w:val="0"/>
        <w:adjustRightInd/>
        <w:snapToGrid/>
        <w:spacing w:after="0" w:line="300" w:lineRule="auto"/>
        <w:ind w:firstLine="643" w:firstLineChars="200"/>
        <w:jc w:val="both"/>
        <w:textAlignment w:val="auto"/>
        <w:rPr>
          <w:rFonts w:ascii="Times New Roman" w:hAnsi="Times New Roman" w:eastAsia="楷体" w:cs="Times New Roman"/>
          <w:b/>
          <w:bCs w:val="0"/>
          <w:sz w:val="32"/>
          <w:szCs w:val="32"/>
        </w:rPr>
      </w:pPr>
      <w:r>
        <w:rPr>
          <w:rFonts w:hint="eastAsia" w:ascii="Times New Roman" w:hAnsi="Times New Roman" w:eastAsia="楷体" w:cs="Times New Roman"/>
          <w:b/>
          <w:bCs w:val="0"/>
          <w:sz w:val="32"/>
          <w:szCs w:val="32"/>
          <w:lang w:eastAsia="zh-CN"/>
        </w:rPr>
        <w:t>（</w:t>
      </w:r>
      <w:r>
        <w:rPr>
          <w:rFonts w:hint="eastAsia" w:ascii="Times New Roman" w:hAnsi="Times New Roman" w:eastAsia="楷体" w:cs="Times New Roman"/>
          <w:b/>
          <w:bCs w:val="0"/>
          <w:sz w:val="32"/>
          <w:szCs w:val="32"/>
          <w:lang w:val="en-US" w:eastAsia="zh-CN"/>
        </w:rPr>
        <w:t>一</w:t>
      </w:r>
      <w:r>
        <w:rPr>
          <w:rFonts w:hint="eastAsia" w:ascii="Times New Roman" w:hAnsi="Times New Roman" w:eastAsia="楷体" w:cs="Times New Roman"/>
          <w:b/>
          <w:bCs w:val="0"/>
          <w:sz w:val="32"/>
          <w:szCs w:val="32"/>
          <w:lang w:eastAsia="zh-CN"/>
        </w:rPr>
        <w:t>）</w:t>
      </w:r>
      <w:r>
        <w:rPr>
          <w:rFonts w:hint="eastAsia" w:ascii="Times New Roman" w:hAnsi="Times New Roman" w:eastAsia="楷体" w:cs="Times New Roman"/>
          <w:b/>
          <w:bCs w:val="0"/>
          <w:sz w:val="32"/>
          <w:szCs w:val="32"/>
          <w:lang w:val="en-US" w:eastAsia="zh-CN"/>
        </w:rPr>
        <w:t>园区</w:t>
      </w:r>
      <w:r>
        <w:rPr>
          <w:rFonts w:hint="eastAsia" w:ascii="Times New Roman" w:hAnsi="Times New Roman" w:eastAsia="楷体" w:cs="Times New Roman"/>
          <w:b/>
          <w:bCs w:val="0"/>
          <w:sz w:val="32"/>
          <w:szCs w:val="32"/>
        </w:rPr>
        <w:t>基本情况</w:t>
      </w:r>
    </w:p>
    <w:p>
      <w:pPr>
        <w:keepNext w:val="0"/>
        <w:keepLines w:val="0"/>
        <w:pageBreakBefore w:val="0"/>
        <w:widowControl w:val="0"/>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1、园区概况。主要包括园区地理位置、交通条件、占地面积、自然条件、功能区划等内容。要附园区区位图和园区功能区划图。</w:t>
      </w:r>
    </w:p>
    <w:p>
      <w:pPr>
        <w:autoSpaceDN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2、经济发展和产业基础。描述园区经济、产业发展水平以及园区主导行业、重点企业及其发展状况（可附相关图表），基础设施状况、道路交通状况等。</w:t>
      </w:r>
    </w:p>
    <w:p>
      <w:pPr>
        <w:keepNext w:val="0"/>
        <w:keepLines w:val="0"/>
        <w:pageBreakBefore w:val="0"/>
        <w:widowControl w:val="0"/>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3、资源环境现状。园区主要能源和资源的消耗水平；二氧化碳排放情况；近三年节能减排目标完成情况；近三年废弃物排放及综合利用</w:t>
      </w:r>
      <w:r>
        <w:rPr>
          <w:rFonts w:hint="eastAsia" w:ascii="仿宋_GB2312" w:hAnsi="仿宋_GB2312" w:eastAsia="仿宋_GB2312" w:cs="仿宋_GB2312"/>
          <w:sz w:val="32"/>
          <w:szCs w:val="32"/>
          <w:lang w:val="en-US" w:eastAsia="zh-CN"/>
        </w:rPr>
        <w:t>情</w:t>
      </w:r>
      <w:r>
        <w:rPr>
          <w:rFonts w:hint="eastAsia" w:ascii="仿宋_GB2312" w:hAnsi="仿宋_GB2312" w:eastAsia="仿宋_GB2312" w:cs="仿宋_GB2312"/>
          <w:color w:val="auto"/>
          <w:sz w:val="32"/>
          <w:szCs w:val="32"/>
          <w:lang w:val="en-US" w:eastAsia="zh-CN"/>
        </w:rPr>
        <w:t>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园区工业固体利用处置集中处理设施建设情况；工业固体废物收集体系建设等情况（小微企业）。</w:t>
      </w:r>
    </w:p>
    <w:p>
      <w:pPr>
        <w:keepNext w:val="0"/>
        <w:keepLines w:val="0"/>
        <w:pageBreakBefore w:val="0"/>
        <w:widowControl w:val="0"/>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绿色低碳工作基础。制定和出台的清洁生产、节能降碳、减少污染物产生和排放、综合利用等管理制度以及执行情况。近三年在清洁生产、节能降耗、减少污染物产生和排放、综合利用等方面的项目及投入情况。</w:t>
      </w:r>
    </w:p>
    <w:p>
      <w:pPr>
        <w:keepNext w:val="0"/>
        <w:keepLines w:val="0"/>
        <w:pageBreakBefore w:val="0"/>
        <w:widowControl w:val="0"/>
        <w:kinsoku/>
        <w:wordWrap/>
        <w:overflowPunct/>
        <w:topLinePunct w:val="0"/>
        <w:autoSpaceDE/>
        <w:autoSpaceDN w:val="0"/>
        <w:bidi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（二）工业固体废物源头减量情况</w:t>
      </w:r>
    </w:p>
    <w:p>
      <w:pPr>
        <w:keepNext w:val="0"/>
        <w:keepLines w:val="0"/>
        <w:pageBreakBefore w:val="0"/>
        <w:widowControl w:val="0"/>
        <w:numPr>
          <w:ilvl w:val="0"/>
          <w:numId w:val="1"/>
        </w:numPr>
        <w:kinsoku/>
        <w:wordWrap/>
        <w:overflowPunct/>
        <w:topLinePunct w:val="0"/>
        <w:autoSpaceDE/>
        <w:autoSpaceDN w:val="0"/>
        <w:bidi w:val="0"/>
        <w:adjustRightInd/>
        <w:snapToGrid/>
        <w:spacing w:after="0" w:line="300" w:lineRule="auto"/>
        <w:ind w:firstLine="6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园区</w:t>
      </w:r>
      <w:r>
        <w:rPr>
          <w:rFonts w:hint="eastAsia" w:ascii="仿宋_GB2312" w:hAnsi="仿宋_GB2312" w:eastAsia="仿宋_GB2312" w:cs="仿宋_GB2312"/>
          <w:color w:val="auto"/>
          <w:sz w:val="32"/>
          <w:szCs w:val="32"/>
          <w:highlight w:val="none"/>
        </w:rPr>
        <w:t>已实施或拟实施</w:t>
      </w:r>
      <w:r>
        <w:rPr>
          <w:rFonts w:hint="eastAsia" w:ascii="仿宋_GB2312" w:hAnsi="仿宋_GB2312" w:eastAsia="仿宋_GB2312" w:cs="仿宋_GB2312"/>
          <w:sz w:val="32"/>
          <w:szCs w:val="32"/>
          <w:highlight w:val="none"/>
          <w:lang w:val="en-US" w:eastAsia="zh-CN"/>
        </w:rPr>
        <w:t>产业链招商、补链招商，建设和引进关键链接项目情况。</w:t>
      </w:r>
    </w:p>
    <w:p>
      <w:pPr>
        <w:keepNext w:val="0"/>
        <w:keepLines w:val="0"/>
        <w:pageBreakBefore w:val="0"/>
        <w:widowControl w:val="0"/>
        <w:numPr>
          <w:ilvl w:val="0"/>
          <w:numId w:val="1"/>
        </w:numPr>
        <w:kinsoku/>
        <w:wordWrap/>
        <w:overflowPunct/>
        <w:topLinePunct w:val="0"/>
        <w:autoSpaceDE/>
        <w:autoSpaceDN w:val="0"/>
        <w:bidi w:val="0"/>
        <w:adjustRightInd/>
        <w:snapToGrid/>
        <w:spacing w:after="0" w:line="300" w:lineRule="auto"/>
        <w:ind w:firstLine="640" w:firstLine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园区近三年工业固体废物产生强度情况。</w:t>
      </w:r>
      <w:r>
        <w:rPr>
          <w:rFonts w:hint="eastAsia" w:ascii="仿宋_GB2312" w:hAnsi="仿宋_GB2312" w:eastAsia="仿宋_GB2312" w:cs="仿宋_GB2312"/>
          <w:kern w:val="2"/>
          <w:sz w:val="32"/>
          <w:szCs w:val="32"/>
          <w:highlight w:val="none"/>
          <w:lang w:val="en-US" w:eastAsia="zh-CN" w:bidi="ar-SA"/>
        </w:rPr>
        <w:t>（至少包括园区近三年实施的降低</w:t>
      </w:r>
      <w:r>
        <w:rPr>
          <w:rFonts w:hint="eastAsia" w:ascii="仿宋_GB2312" w:hAnsi="仿宋_GB2312" w:eastAsia="仿宋_GB2312" w:cs="仿宋_GB2312"/>
          <w:sz w:val="32"/>
          <w:szCs w:val="32"/>
          <w:highlight w:val="none"/>
          <w:lang w:val="en-US" w:eastAsia="zh-CN"/>
        </w:rPr>
        <w:t>工业固体废物产生</w:t>
      </w:r>
      <w:r>
        <w:rPr>
          <w:rFonts w:hint="eastAsia" w:ascii="仿宋_GB2312" w:hAnsi="仿宋_GB2312" w:eastAsia="仿宋_GB2312" w:cs="仿宋_GB2312"/>
          <w:kern w:val="2"/>
          <w:sz w:val="32"/>
          <w:szCs w:val="32"/>
          <w:highlight w:val="none"/>
          <w:lang w:val="en-US" w:eastAsia="zh-CN" w:bidi="ar-SA"/>
        </w:rPr>
        <w:t>强度的举措并计算近三年</w:t>
      </w:r>
      <w:r>
        <w:rPr>
          <w:rFonts w:hint="eastAsia" w:ascii="Times New Roman" w:hAnsi="Times New Roman" w:eastAsia="仿宋" w:cs="Times New Roman"/>
          <w:sz w:val="32"/>
          <w:szCs w:val="32"/>
          <w:lang w:val="en-US" w:eastAsia="zh-CN"/>
        </w:rPr>
        <w:t>园区内</w:t>
      </w:r>
      <w:r>
        <w:rPr>
          <w:rFonts w:hint="eastAsia" w:ascii="仿宋_GB2312" w:hAnsi="仿宋_GB2312" w:eastAsia="仿宋_GB2312" w:cs="仿宋_GB2312"/>
          <w:kern w:val="2"/>
          <w:sz w:val="32"/>
          <w:szCs w:val="32"/>
          <w:highlight w:val="none"/>
          <w:lang w:val="en-US" w:eastAsia="zh-CN" w:bidi="ar-SA"/>
        </w:rPr>
        <w:t>产生的强度值。）</w:t>
      </w:r>
    </w:p>
    <w:p>
      <w:pPr>
        <w:pStyle w:val="4"/>
        <w:jc w:val="center"/>
        <w:rPr>
          <w:rFonts w:hint="default"/>
          <w:lang w:val="en-US" w:eastAsia="zh-CN"/>
        </w:rPr>
      </w:pPr>
      <w:r>
        <w:rPr>
          <w:rFonts w:hint="eastAsia" w:ascii="黑体" w:hAnsi="黑体" w:eastAsia="黑体" w:cs="黑体"/>
          <w:lang w:val="en-US" w:eastAsia="zh-CN"/>
        </w:rPr>
        <w:t>表2.1  近三年园区内工业固体废物产生强度统计表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392"/>
        <w:gridCol w:w="14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年份</w:t>
            </w: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lang w:val="en-US" w:eastAsia="zh-CN"/>
              </w:rPr>
            </w:pPr>
            <w:r>
              <w:rPr>
                <w:rFonts w:hint="eastAsia" w:ascii="Times New Roman" w:hAnsi="Times New Roman" w:eastAsia="仿宋" w:cs="Times New Roman"/>
                <w:kern w:val="2"/>
                <w:sz w:val="24"/>
                <w:szCs w:val="24"/>
                <w:vertAlign w:val="baseline"/>
                <w:lang w:val="en-US" w:eastAsia="zh-CN" w:bidi="ar-SA"/>
              </w:rPr>
              <w:t>工业固体废物产生量（万吨）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工业增加值（万元）</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sz w:val="24"/>
                <w:lang w:val="en-US" w:eastAsia="zh-CN"/>
              </w:rPr>
            </w:pPr>
            <w:r>
              <w:rPr>
                <w:rFonts w:hint="eastAsia" w:ascii="Times New Roman" w:hAnsi="Times New Roman" w:eastAsia="仿宋"/>
                <w:sz w:val="24"/>
                <w:lang w:val="en-US" w:eastAsia="zh-CN"/>
              </w:rPr>
              <w:t>工业固体废物产生强度</w:t>
            </w:r>
          </w:p>
          <w:p>
            <w:pPr>
              <w:pStyle w:val="4"/>
              <w:ind w:firstLine="480" w:firstLineChars="200"/>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（万吨/万元）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val="0"/>
        <w:bidi w:val="0"/>
        <w:adjustRightInd/>
        <w:snapToGrid/>
        <w:spacing w:after="0" w:line="300" w:lineRule="auto"/>
        <w:ind w:left="630" w:firstLine="0" w:firstLineChars="0"/>
        <w:jc w:val="center"/>
        <w:textAlignment w:val="auto"/>
        <w:rPr>
          <w:rFonts w:hint="eastAsia" w:ascii="宋体" w:hAnsi="Times New Roman" w:eastAsia="宋体" w:cs="Times New Roman"/>
          <w:kern w:val="0"/>
          <w:sz w:val="24"/>
          <w:szCs w:val="21"/>
          <w:lang w:val="en-US" w:eastAsia="zh-CN"/>
        </w:rPr>
      </w:pPr>
    </w:p>
    <w:p>
      <w:pPr>
        <w:keepNext w:val="0"/>
        <w:keepLines w:val="0"/>
        <w:pageBreakBefore w:val="0"/>
        <w:widowControl w:val="0"/>
        <w:numPr>
          <w:ilvl w:val="0"/>
          <w:numId w:val="1"/>
        </w:numPr>
        <w:kinsoku/>
        <w:wordWrap/>
        <w:overflowPunct/>
        <w:topLinePunct w:val="0"/>
        <w:autoSpaceDE/>
        <w:autoSpaceDN w:val="0"/>
        <w:bidi w:val="0"/>
        <w:adjustRightInd/>
        <w:snapToGrid/>
        <w:spacing w:after="0" w:line="300" w:lineRule="auto"/>
        <w:ind w:left="0" w:firstLine="64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园区内通过清洁生产审核评估工业企业占比情况。（至少包括已通过清洁生产审核评估的工业企业数量，企业名称，企业通过时间，企业实施的有效举措等。）</w:t>
      </w:r>
    </w:p>
    <w:p>
      <w:pPr>
        <w:keepNext w:val="0"/>
        <w:keepLines w:val="0"/>
        <w:pageBreakBefore w:val="0"/>
        <w:widowControl/>
        <w:numPr>
          <w:ilvl w:val="0"/>
          <w:numId w:val="1"/>
        </w:numPr>
        <w:kinsoku/>
        <w:wordWrap/>
        <w:overflowPunct/>
        <w:topLinePunct w:val="0"/>
        <w:autoSpaceDE/>
        <w:autoSpaceDN w:val="0"/>
        <w:bidi w:val="0"/>
        <w:adjustRightInd/>
        <w:snapToGrid/>
        <w:spacing w:after="0" w:line="300" w:lineRule="auto"/>
        <w:ind w:left="0" w:firstLine="640" w:firstLineChars="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园区内企业开展绿色工厂建设的企业数量情况。（至少包括已开展绿色工厂企业创建的数量，企业名称，企业通过的时间及等级（国家、省级），企业实施的有效举措等。）</w:t>
      </w:r>
    </w:p>
    <w:p>
      <w:pPr>
        <w:keepNext w:val="0"/>
        <w:keepLines w:val="0"/>
        <w:pageBreakBefore w:val="0"/>
        <w:widowControl w:val="0"/>
        <w:kinsoku/>
        <w:wordWrap/>
        <w:overflowPunct/>
        <w:topLinePunct w:val="0"/>
        <w:autoSpaceDE/>
        <w:autoSpaceDN w:val="0"/>
        <w:bidi w:val="0"/>
        <w:adjustRightInd/>
        <w:snapToGrid/>
        <w:spacing w:after="0" w:line="300" w:lineRule="auto"/>
        <w:ind w:firstLine="643" w:firstLineChars="200"/>
        <w:jc w:val="both"/>
        <w:textAlignment w:val="auto"/>
        <w:rPr>
          <w:rFonts w:ascii="Times New Roman" w:hAnsi="Times New Roman" w:eastAsia="楷体" w:cs="Times New Roman"/>
          <w:b/>
          <w:bCs w:val="0"/>
          <w:sz w:val="32"/>
          <w:szCs w:val="32"/>
        </w:rPr>
      </w:pPr>
      <w:r>
        <w:rPr>
          <w:rFonts w:hint="eastAsia" w:ascii="Times New Roman" w:hAnsi="Times New Roman" w:eastAsia="楷体" w:cs="Times New Roman"/>
          <w:b/>
          <w:bCs w:val="0"/>
          <w:sz w:val="32"/>
          <w:szCs w:val="32"/>
        </w:rPr>
        <w:t>（</w:t>
      </w:r>
      <w:r>
        <w:rPr>
          <w:rFonts w:hint="eastAsia" w:ascii="Times New Roman" w:hAnsi="Times New Roman" w:eastAsia="楷体" w:cs="Times New Roman"/>
          <w:b/>
          <w:bCs w:val="0"/>
          <w:sz w:val="32"/>
          <w:szCs w:val="32"/>
          <w:lang w:val="en-US" w:eastAsia="zh-CN"/>
        </w:rPr>
        <w:t>三</w:t>
      </w:r>
      <w:r>
        <w:rPr>
          <w:rFonts w:hint="eastAsia" w:ascii="Times New Roman" w:hAnsi="Times New Roman" w:eastAsia="楷体" w:cs="Times New Roman"/>
          <w:b/>
          <w:bCs w:val="0"/>
          <w:sz w:val="32"/>
          <w:szCs w:val="32"/>
        </w:rPr>
        <w:t>）工业固体</w:t>
      </w:r>
      <w:r>
        <w:rPr>
          <w:rFonts w:hint="eastAsia" w:ascii="Times New Roman" w:hAnsi="Times New Roman" w:eastAsia="楷体" w:cs="Times New Roman"/>
          <w:b/>
          <w:bCs w:val="0"/>
          <w:sz w:val="32"/>
          <w:szCs w:val="32"/>
          <w:lang w:val="en-US" w:eastAsia="zh-CN"/>
        </w:rPr>
        <w:t>废</w:t>
      </w:r>
      <w:r>
        <w:rPr>
          <w:rFonts w:hint="eastAsia" w:ascii="Times New Roman" w:hAnsi="Times New Roman" w:eastAsia="楷体" w:cs="Times New Roman"/>
          <w:b/>
          <w:bCs w:val="0"/>
          <w:sz w:val="32"/>
          <w:szCs w:val="32"/>
        </w:rPr>
        <w:t>物</w:t>
      </w:r>
      <w:r>
        <w:rPr>
          <w:rFonts w:hint="eastAsia" w:ascii="Times New Roman" w:hAnsi="Times New Roman" w:eastAsia="楷体" w:cs="Times New Roman"/>
          <w:b/>
          <w:bCs w:val="0"/>
          <w:sz w:val="32"/>
          <w:szCs w:val="32"/>
          <w:lang w:val="en-US" w:eastAsia="zh-CN"/>
        </w:rPr>
        <w:t>资源化利用</w:t>
      </w:r>
      <w:r>
        <w:rPr>
          <w:rFonts w:hint="eastAsia" w:ascii="Times New Roman" w:hAnsi="Times New Roman" w:eastAsia="楷体" w:cs="Times New Roman"/>
          <w:b/>
          <w:bCs w:val="0"/>
          <w:sz w:val="32"/>
          <w:szCs w:val="32"/>
        </w:rPr>
        <w:t>情况</w:t>
      </w:r>
    </w:p>
    <w:p>
      <w:pPr>
        <w:keepNext w:val="0"/>
        <w:keepLines w:val="0"/>
        <w:pageBreakBefore w:val="0"/>
        <w:widowControl w:val="0"/>
        <w:numPr>
          <w:ilvl w:val="0"/>
          <w:numId w:val="0"/>
        </w:numPr>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1、园区近三年工业固体废物综合利用率情况。（至少包括园区主要企业主要固体废物品种综合利用情况、园区内工业固体废物内部循环情况、以及倡导绿色包装，对废弃包装进行统一收集和回收利用等情况，</w:t>
      </w:r>
      <w:r>
        <w:rPr>
          <w:rFonts w:hint="eastAsia" w:ascii="仿宋_GB2312" w:hAnsi="仿宋_GB2312" w:eastAsia="仿宋_GB2312" w:cs="仿宋_GB2312"/>
          <w:kern w:val="2"/>
          <w:sz w:val="32"/>
          <w:szCs w:val="32"/>
          <w:highlight w:val="none"/>
          <w:lang w:val="en-US" w:eastAsia="zh-CN" w:bidi="ar-SA"/>
        </w:rPr>
        <w:t>并计算近三年</w:t>
      </w:r>
      <w:r>
        <w:rPr>
          <w:rFonts w:hint="eastAsia" w:ascii="仿宋_GB2312" w:hAnsi="仿宋_GB2312" w:eastAsia="仿宋_GB2312" w:cs="仿宋_GB2312"/>
          <w:sz w:val="32"/>
          <w:szCs w:val="32"/>
          <w:lang w:val="en-US" w:eastAsia="zh-CN"/>
        </w:rPr>
        <w:t>园区内工业固体废物综合利用率。）</w:t>
      </w:r>
    </w:p>
    <w:p>
      <w:pPr>
        <w:pStyle w:val="4"/>
        <w:jc w:val="center"/>
        <w:rPr>
          <w:rFonts w:hint="default"/>
          <w:lang w:val="en-US" w:eastAsia="zh-CN"/>
        </w:rPr>
      </w:pPr>
      <w:r>
        <w:rPr>
          <w:rFonts w:hint="eastAsia" w:ascii="黑体" w:hAnsi="黑体" w:eastAsia="黑体" w:cs="黑体"/>
          <w:lang w:val="en-US" w:eastAsia="zh-CN"/>
        </w:rPr>
        <w:t>表2.2  近三年园区内工业固体废物综合利用率统计表</w:t>
      </w:r>
    </w:p>
    <w:tbl>
      <w:tblPr>
        <w:tblStyle w:val="5"/>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29"/>
        <w:gridCol w:w="1845"/>
        <w:gridCol w:w="1695"/>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年份</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工业固体废物</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综合利用量（万吨）</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当年工业固体废物产生量</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（万吨）</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综合利用往年贮存量</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（万吨）</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工业固体废物综合利用率（%）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bl>
    <w:p>
      <w:pPr>
        <w:pStyle w:val="2"/>
        <w:numPr>
          <w:ilvl w:val="0"/>
          <w:numId w:val="0"/>
        </w:numPr>
        <w:rPr>
          <w:rFonts w:hint="default"/>
          <w:lang w:val="en-US" w:eastAsia="zh-CN"/>
        </w:rPr>
      </w:pPr>
    </w:p>
    <w:p>
      <w:pPr>
        <w:keepNext w:val="0"/>
        <w:keepLines w:val="0"/>
        <w:pageBreakBefore w:val="0"/>
        <w:widowControl w:val="0"/>
        <w:numPr>
          <w:ilvl w:val="0"/>
          <w:numId w:val="0"/>
        </w:numPr>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2、园区近三年再生资源回收利用率情况。（至少包括园区内再生资源种类、数量，循环利用工艺等情况，并计算近三年园区内再生资源回收利用率。）</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表2.3  近三年园区内再生资源回收利用率统计表</w:t>
      </w:r>
    </w:p>
    <w:tbl>
      <w:tblPr>
        <w:tblStyle w:val="5"/>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2497"/>
        <w:gridCol w:w="247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年份</w:t>
            </w: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再生资源循环利用量（万吨）</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再生资源收集量</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lang w:val="en-US" w:eastAsia="zh-CN"/>
              </w:rPr>
              <w:t>（万吨）</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再生资源回收利用率(%)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bl>
    <w:p>
      <w:pPr>
        <w:keepNext w:val="0"/>
        <w:keepLines w:val="0"/>
        <w:pageBreakBefore w:val="0"/>
        <w:widowControl w:val="0"/>
        <w:numPr>
          <w:ilvl w:val="0"/>
          <w:numId w:val="2"/>
        </w:numPr>
        <w:kinsoku/>
        <w:wordWrap/>
        <w:overflowPunct/>
        <w:topLinePunct w:val="0"/>
        <w:autoSpaceDE/>
        <w:autoSpaceDN w:val="0"/>
        <w:bidi w:val="0"/>
        <w:adjustRightInd/>
        <w:snapToGrid/>
        <w:spacing w:after="0" w:line="300" w:lineRule="auto"/>
        <w:ind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工业固体废物最终处置情况</w:t>
      </w:r>
    </w:p>
    <w:p>
      <w:pPr>
        <w:keepNext w:val="0"/>
        <w:keepLines w:val="0"/>
        <w:pageBreakBefore w:val="0"/>
        <w:widowControl w:val="0"/>
        <w:numPr>
          <w:ilvl w:val="0"/>
          <w:numId w:val="0"/>
        </w:numPr>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区近三年工业固体废物贮存处置下降幅度情况。（至少包括园区工业固体废物分类、贮存、处置以及贮存环境的情况，园区内工业固体废物收运体系建立情况，园区工业固体废物集中利用处置设施情况以及园区工业固体废物的无害化处置等情况，并计算近三年园区内工业固体废物贮存处置下降幅度。）</w:t>
      </w:r>
    </w:p>
    <w:p>
      <w:pPr>
        <w:pStyle w:val="4"/>
        <w:jc w:val="center"/>
        <w:rPr>
          <w:rFonts w:hint="eastAsia" w:ascii="黑体" w:hAnsi="黑体" w:eastAsia="黑体" w:cs="黑体"/>
          <w:lang w:val="en-US" w:eastAsia="zh-CN"/>
        </w:rPr>
      </w:pPr>
      <w:r>
        <w:rPr>
          <w:rFonts w:hint="eastAsia" w:ascii="黑体" w:hAnsi="黑体" w:eastAsia="黑体" w:cs="黑体"/>
          <w:lang w:val="en-US" w:eastAsia="zh-CN"/>
        </w:rPr>
        <w:t>表2.4  近三年园区内工业固体废物贮存处置下降幅度统计表</w:t>
      </w:r>
    </w:p>
    <w:tbl>
      <w:tblPr>
        <w:tblStyle w:val="5"/>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385"/>
        <w:gridCol w:w="292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年份</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基准年工业固体废物贮存处置量</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（万吨）</w:t>
            </w:r>
          </w:p>
        </w:tc>
        <w:tc>
          <w:tcPr>
            <w:tcW w:w="2925"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Times New Roman" w:hAnsi="Times New Roman" w:eastAsia="仿宋" w:cs="Times New Roman"/>
                <w:kern w:val="2"/>
                <w:sz w:val="24"/>
                <w:szCs w:val="24"/>
                <w:vertAlign w:val="baseline"/>
                <w:lang w:val="en-US" w:eastAsia="zh-CN" w:bidi="ar-SA"/>
              </w:rPr>
              <w:t>评价年工业固体废物贮存处置量</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（万吨）</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工业固体废物贮存处置下降幅度</w:t>
            </w:r>
          </w:p>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default" w:ascii="Times New Roman" w:hAnsi="Times New Roman" w:eastAsia="仿宋" w:cs="Times New Roman"/>
                <w:kern w:val="2"/>
                <w:sz w:val="24"/>
                <w:szCs w:val="24"/>
                <w:vertAlign w:val="baseline"/>
                <w:lang w:val="en-US" w:eastAsia="zh-CN" w:bidi="ar-SA"/>
              </w:rPr>
            </w:pPr>
          </w:p>
        </w:tc>
        <w:tc>
          <w:tcPr>
            <w:tcW w:w="2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after="0" w:line="300" w:lineRule="auto"/>
              <w:jc w:val="center"/>
              <w:textAlignment w:val="auto"/>
              <w:rPr>
                <w:rFonts w:hint="eastAsia" w:ascii="Times New Roman" w:hAnsi="Times New Roman" w:eastAsia="仿宋" w:cs="Times New Roman"/>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val="0"/>
        <w:bidi w:val="0"/>
        <w:adjustRightInd/>
        <w:snapToGrid/>
        <w:spacing w:after="0" w:line="30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注：基准年为近三年的上一年度，如近三年为2019、2020、2021，则基准年为2018年度。</w:t>
      </w:r>
    </w:p>
    <w:p>
      <w:pPr>
        <w:keepNext w:val="0"/>
        <w:keepLines w:val="0"/>
        <w:pageBreakBefore w:val="0"/>
        <w:widowControl w:val="0"/>
        <w:numPr>
          <w:ilvl w:val="0"/>
          <w:numId w:val="2"/>
        </w:numPr>
        <w:kinsoku/>
        <w:wordWrap/>
        <w:overflowPunct/>
        <w:topLinePunct w:val="0"/>
        <w:autoSpaceDE/>
        <w:autoSpaceDN w:val="0"/>
        <w:bidi w:val="0"/>
        <w:adjustRightInd/>
        <w:snapToGrid/>
        <w:spacing w:after="0" w:line="300" w:lineRule="auto"/>
        <w:ind w:left="0" w:leftChars="0"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园区保障能力建设情况</w:t>
      </w:r>
    </w:p>
    <w:p>
      <w:pPr>
        <w:keepNext w:val="0"/>
        <w:keepLines w:val="0"/>
        <w:pageBreakBefore w:val="0"/>
        <w:widowControl w:val="0"/>
        <w:numPr>
          <w:ilvl w:val="0"/>
          <w:numId w:val="3"/>
        </w:numPr>
        <w:kinsoku/>
        <w:wordWrap/>
        <w:overflowPunct/>
        <w:topLinePunct w:val="0"/>
        <w:autoSpaceDE/>
        <w:autoSpaceDN w:val="0"/>
        <w:bidi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园区推动固体废物在园区内、厂区内协同循环利用，提高固废就地资源化效率等制定的相关标准体系、制度及“无废园区”发展规划的编制等情况。</w:t>
      </w:r>
    </w:p>
    <w:p>
      <w:pPr>
        <w:keepNext w:val="0"/>
        <w:keepLines w:val="0"/>
        <w:pageBreakBefore w:val="0"/>
        <w:widowControl w:val="0"/>
        <w:numPr>
          <w:ilvl w:val="0"/>
          <w:numId w:val="3"/>
        </w:numPr>
        <w:kinsoku/>
        <w:wordWrap/>
        <w:overflowPunct/>
        <w:topLinePunct w:val="0"/>
        <w:autoSpaceDE/>
        <w:autoSpaceDN w:val="0"/>
        <w:bidi w:val="0"/>
        <w:adjustRightInd/>
        <w:snapToGrid/>
        <w:spacing w:after="0" w:line="300" w:lineRule="auto"/>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园区信息平台情况情况。</w:t>
      </w:r>
    </w:p>
    <w:p>
      <w:pPr>
        <w:keepNext w:val="0"/>
        <w:keepLines w:val="0"/>
        <w:pageBreakBefore w:val="0"/>
        <w:widowControl w:val="0"/>
        <w:numPr>
          <w:ilvl w:val="0"/>
          <w:numId w:val="3"/>
        </w:numPr>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园区依法及时公开固体废物污染环境防治信息，主动接受社会监督等情况。</w:t>
      </w:r>
    </w:p>
    <w:p>
      <w:pPr>
        <w:keepNext w:val="0"/>
        <w:keepLines w:val="0"/>
        <w:pageBreakBefore w:val="0"/>
        <w:widowControl w:val="0"/>
        <w:numPr>
          <w:ilvl w:val="0"/>
          <w:numId w:val="2"/>
        </w:numPr>
        <w:kinsoku/>
        <w:wordWrap/>
        <w:overflowPunct/>
        <w:topLinePunct w:val="0"/>
        <w:autoSpaceDE/>
        <w:autoSpaceDN w:val="0"/>
        <w:bidi w:val="0"/>
        <w:adjustRightInd/>
        <w:snapToGrid/>
        <w:spacing w:after="0" w:line="300" w:lineRule="auto"/>
        <w:ind w:left="0" w:leftChars="0" w:firstLine="643" w:firstLineChars="200"/>
        <w:jc w:val="both"/>
        <w:textAlignment w:val="auto"/>
        <w:rPr>
          <w:rFonts w:hint="eastAsia" w:ascii="Times New Roman" w:hAnsi="Times New Roman" w:eastAsia="楷体" w:cs="Times New Roman"/>
          <w:b/>
          <w:bCs w:val="0"/>
          <w:sz w:val="32"/>
          <w:szCs w:val="32"/>
          <w:lang w:val="en-US" w:eastAsia="zh-CN"/>
        </w:rPr>
      </w:pPr>
      <w:r>
        <w:rPr>
          <w:rFonts w:hint="eastAsia" w:ascii="Times New Roman" w:hAnsi="Times New Roman" w:eastAsia="楷体" w:cs="Times New Roman"/>
          <w:b/>
          <w:bCs w:val="0"/>
          <w:sz w:val="32"/>
          <w:szCs w:val="32"/>
          <w:lang w:val="en-US" w:eastAsia="zh-CN"/>
        </w:rPr>
        <w:t>群众获得感情况</w:t>
      </w:r>
    </w:p>
    <w:p>
      <w:pPr>
        <w:keepNext w:val="0"/>
        <w:keepLines w:val="0"/>
        <w:pageBreakBefore w:val="0"/>
        <w:widowControl w:val="0"/>
        <w:numPr>
          <w:ilvl w:val="0"/>
          <w:numId w:val="0"/>
        </w:numPr>
        <w:kinsoku/>
        <w:wordWrap/>
        <w:overflowPunct/>
        <w:topLinePunct w:val="0"/>
        <w:autoSpaceDE/>
        <w:autoSpaceDN w:val="0"/>
        <w:bidi w:val="0"/>
        <w:adjustRightInd/>
        <w:snapToGrid/>
        <w:spacing w:after="0" w:line="30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1、园区组织以“无废园区”为主题的科普活动，是否设置宣传栏或相关海报、显示屏等，定期更新“无废园区”宣讲知识等情况。</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4"/>
    <w:multiLevelType w:val="singleLevel"/>
    <w:tmpl w:val="00000004"/>
    <w:lvl w:ilvl="0" w:tentative="0">
      <w:start w:val="4"/>
      <w:numFmt w:val="chineseCounting"/>
      <w:suff w:val="nothing"/>
      <w:lvlText w:val="（%1）"/>
      <w:lvlJc w:val="left"/>
      <w:rPr>
        <w:rFonts w:hint="eastAsia"/>
      </w:rPr>
    </w:lvl>
  </w:abstractNum>
  <w:abstractNum w:abstractNumId="2">
    <w:nsid w:val="00000006"/>
    <w:multiLevelType w:val="singleLevel"/>
    <w:tmpl w:val="00000006"/>
    <w:lvl w:ilvl="0" w:tentative="0">
      <w:start w:val="1"/>
      <w:numFmt w:val="decimal"/>
      <w:suff w:val="nothing"/>
      <w:lvlText w:val="%1、"/>
      <w:lvlJc w:val="left"/>
      <w:pPr>
        <w:ind w:left="-1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5E3F16CF"/>
    <w:rsid w:val="2E461D92"/>
    <w:rsid w:val="5E3F16CF"/>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List Paragraph"/>
    <w:basedOn w:val="1"/>
    <w:next w:val="1"/>
    <w:qFormat/>
    <w:uiPriority w:val="0"/>
    <w:pPr>
      <w:ind w:left="240" w:firstLine="479"/>
    </w:pPr>
    <w:rPr>
      <w:rFonts w:ascii="宋体" w:hAnsi="宋体" w:eastAsia="宋体" w:cs="宋体"/>
      <w:lang w:val="zh-CN" w:eastAsia="zh-CN" w:bidi="zh-CN"/>
    </w:rPr>
  </w:style>
  <w:style w:type="paragraph" w:styleId="4">
    <w:name w:val="Normal Indent"/>
    <w:basedOn w:val="1"/>
    <w:qFormat/>
    <w:uiPriority w:val="0"/>
    <w:pPr>
      <w:snapToGrid w:val="0"/>
      <w:spacing w:line="360" w:lineRule="auto"/>
      <w:ind w:firstLine="420" w:firstLineChars="200"/>
    </w:pPr>
    <w:rPr>
      <w:rFonts w:ascii="宋体" w:hAnsi="Times New Roman" w:eastAsia="宋体" w:cs="Times New Roman"/>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1794</Words>
  <Characters>1840</Characters>
  <Lines>0</Lines>
  <Paragraphs>0</Paragraphs>
  <TotalTime>0</TotalTime>
  <ScaleCrop>false</ScaleCrop>
  <LinksUpToDate>false</LinksUpToDate>
  <CharactersWithSpaces>1847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2022-08-08T08:59:00Z</dcterms:created>
  <dc:creator>薛尤嘉</dc:creator>
  <cp:lastModifiedBy>薛尤嘉</cp:lastModifiedBy>
  <dcterms:modified xsi:type="dcterms:W3CDTF">2022-08-08T08:59:54Z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DD9130E52C2E46FCBA5996E57EA9B8EE</vt:lpwstr>
  </property>
</Properties>
</file>