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autoSpaceDN w:val="0"/>
        <w:adjustRightInd w:val="0"/>
        <w:ind w:firstLine="0" w:firstLineChars="0"/>
        <w:rPr>
          <w:rFonts w:hint="default" w:ascii="Times New Roman" w:hAnsi="Times New Roman" w:eastAsia="方正小标宋简体" w:cs="Times New Roman"/>
          <w:color w:val="000000"/>
          <w:sz w:val="36"/>
          <w:szCs w:val="36"/>
          <w:lang w:val="en-US"/>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spacing w:after="156" w:afterLines="50"/>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团体标准应用示范项目申报书</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团体标准名称</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（中文）</w:t>
            </w:r>
          </w:p>
        </w:tc>
        <w:tc>
          <w:tcPr>
            <w:tcW w:w="7613" w:type="dxa"/>
            <w:gridSpan w:val="3"/>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标准编号</w:t>
            </w:r>
          </w:p>
        </w:tc>
        <w:tc>
          <w:tcPr>
            <w:tcW w:w="3175" w:type="dxa"/>
            <w:noWrap w:val="0"/>
            <w:vAlign w:val="center"/>
          </w:tcPr>
          <w:p>
            <w:pPr>
              <w:rPr>
                <w:rFonts w:hint="default" w:ascii="Times New Roman" w:hAnsi="Times New Roman" w:eastAsia="仿宋_GB2312" w:cs="Times New Roman"/>
                <w:color w:val="000000"/>
                <w:sz w:val="28"/>
                <w:szCs w:val="28"/>
              </w:rPr>
            </w:pPr>
          </w:p>
        </w:tc>
        <w:tc>
          <w:tcPr>
            <w:tcW w:w="1895"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发布时间</w:t>
            </w:r>
          </w:p>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（年月）</w:t>
            </w:r>
          </w:p>
        </w:tc>
        <w:tc>
          <w:tcPr>
            <w:tcW w:w="2543" w:type="dxa"/>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所属领域</w:t>
            </w:r>
          </w:p>
        </w:tc>
        <w:tc>
          <w:tcPr>
            <w:tcW w:w="7613" w:type="dxa"/>
            <w:gridSpan w:val="3"/>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团体标准</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转化情况</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（可多选）</w:t>
            </w:r>
          </w:p>
        </w:tc>
        <w:tc>
          <w:tcPr>
            <w:tcW w:w="7613" w:type="dxa"/>
            <w:gridSpan w:val="3"/>
            <w:noWrap w:val="0"/>
            <w:vAlign w:val="top"/>
          </w:tcPr>
          <w:p>
            <w:pPr>
              <w:spacing w:line="360" w:lineRule="auto"/>
              <w:ind w:left="244" w:hanging="243" w:hangingChars="87"/>
              <w:rPr>
                <w:rFonts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□已转化为国际</w:t>
            </w:r>
            <w:r>
              <w:rPr>
                <w:rFonts w:ascii="Times New Roman" w:hAnsi="Times New Roman" w:eastAsia="仿宋_GB2312" w:cs="Times New Roman"/>
                <w:color w:val="000000"/>
                <w:sz w:val="28"/>
                <w:szCs w:val="28"/>
              </w:rPr>
              <w:t>先进</w:t>
            </w:r>
            <w:r>
              <w:rPr>
                <w:rFonts w:hint="default" w:ascii="Times New Roman" w:hAnsi="Times New Roman" w:eastAsia="仿宋_GB2312" w:cs="Times New Roman"/>
                <w:color w:val="000000"/>
                <w:sz w:val="28"/>
                <w:szCs w:val="28"/>
              </w:rPr>
              <w:t>标准,国际标准编号：</w:t>
            </w:r>
          </w:p>
          <w:p>
            <w:pPr>
              <w:spacing w:line="360" w:lineRule="auto"/>
              <w:ind w:left="244" w:hanging="243" w:hangingChars="87"/>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□已转化为国家或行业标准，标准编号：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涉及必要专利与专利许可模式</w:t>
            </w:r>
          </w:p>
        </w:tc>
        <w:tc>
          <w:tcPr>
            <w:tcW w:w="7613" w:type="dxa"/>
            <w:gridSpan w:val="3"/>
            <w:noWrap w:val="0"/>
            <w:vAlign w:val="top"/>
          </w:tcPr>
          <w:p>
            <w:pPr>
              <w:spacing w:line="6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1、必要专利名称（含专利号）：</w:t>
            </w:r>
          </w:p>
          <w:p>
            <w:pPr>
              <w:spacing w:line="600" w:lineRule="exact"/>
              <w:rPr>
                <w:rFonts w:ascii="Times New Roman" w:hAnsi="Times New Roman" w:eastAsia="仿宋_GB2312" w:cs="Times New Roman"/>
                <w:color w:val="000000"/>
                <w:sz w:val="28"/>
                <w:szCs w:val="28"/>
              </w:rPr>
            </w:pPr>
          </w:p>
          <w:p>
            <w:pPr>
              <w:spacing w:line="6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2、本团体标准中的专利许可模式（从以下三项中勾选</w:t>
            </w:r>
            <w:r>
              <w:rPr>
                <w:rFonts w:ascii="Times New Roman" w:hAnsi="Times New Roman" w:eastAsia="仿宋_GB2312" w:cs="Times New Roman"/>
                <w:color w:val="000000"/>
                <w:sz w:val="28"/>
                <w:szCs w:val="28"/>
              </w:rPr>
              <w:t>，如均不是需另行说明</w:t>
            </w:r>
            <w:r>
              <w:rPr>
                <w:rFonts w:hint="default" w:ascii="Times New Roman" w:hAnsi="Times New Roman" w:eastAsia="仿宋_GB2312" w:cs="Times New Roman"/>
                <w:color w:val="000000"/>
                <w:sz w:val="28"/>
                <w:szCs w:val="28"/>
              </w:rPr>
              <w:t>）：</w:t>
            </w:r>
          </w:p>
          <w:p>
            <w:pPr>
              <w:spacing w:line="600" w:lineRule="exact"/>
              <w:ind w:left="280" w:hanging="280" w:hangingChars="100"/>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□专利权人或者专利申请人同意在公平、合理、无歧视基础上，免费许可任何组织或者个人在实施该团体标准时实施其专利；</w:t>
            </w:r>
          </w:p>
          <w:p>
            <w:pPr>
              <w:spacing w:line="600" w:lineRule="exact"/>
              <w:ind w:left="280" w:hanging="280" w:hangingChars="100"/>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□专利权人或者专利申请人同意在公平、合理、无歧视基础上，收费许可任何组织或者个人在实施该团体标准时实施其专利；</w:t>
            </w:r>
          </w:p>
          <w:p>
            <w:pPr>
              <w:spacing w:line="600" w:lineRule="exact"/>
              <w:ind w:left="280" w:hanging="280" w:hangingChars="100"/>
              <w:jc w:val="left"/>
              <w:rPr>
                <w:rFonts w:ascii="Times New Roman" w:hAnsi="Times New Roman" w:eastAsia="仿宋_GB2312" w:cs="Times New Roman"/>
                <w:b/>
                <w:color w:val="000000"/>
                <w:sz w:val="28"/>
                <w:szCs w:val="28"/>
              </w:rPr>
            </w:pPr>
            <w:r>
              <w:rPr>
                <w:rFonts w:hint="default" w:ascii="Times New Roman" w:hAnsi="Times New Roman" w:eastAsia="仿宋_GB2312" w:cs="Times New Roman"/>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主要起草单位</w:t>
            </w:r>
          </w:p>
        </w:tc>
        <w:tc>
          <w:tcPr>
            <w:tcW w:w="7613" w:type="dxa"/>
            <w:gridSpan w:val="3"/>
            <w:noWrap w:val="0"/>
            <w:vAlign w:val="center"/>
          </w:tcPr>
          <w:p>
            <w:pPr>
              <w:jc w:val="center"/>
              <w:rPr>
                <w:rFonts w:ascii="Times New Roman" w:hAnsi="Times New Roman" w:eastAsia="仿宋_GB2312" w:cs="Times New Roman"/>
                <w:b/>
                <w:color w:val="000000"/>
                <w:sz w:val="28"/>
                <w:szCs w:val="28"/>
              </w:rPr>
            </w:pPr>
          </w:p>
        </w:tc>
      </w:tr>
    </w:tbl>
    <w:p>
      <w:pPr>
        <w:rPr>
          <w:rFonts w:ascii="Times New Roman" w:hAnsi="Times New Roman" w:cs="Times New Roman"/>
        </w:rPr>
      </w:pP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noWrap w:val="0"/>
            <w:vAlign w:val="center"/>
          </w:tcPr>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标准制定背景</w:t>
            </w:r>
          </w:p>
        </w:tc>
        <w:tc>
          <w:tcPr>
            <w:tcW w:w="7613" w:type="dxa"/>
            <w:gridSpan w:val="3"/>
            <w:noWrap w:val="0"/>
            <w:vAlign w:val="top"/>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标准主要内容及关键技术指标</w:t>
            </w:r>
          </w:p>
        </w:tc>
        <w:tc>
          <w:tcPr>
            <w:tcW w:w="7613" w:type="dxa"/>
            <w:gridSpan w:val="3"/>
            <w:noWrap w:val="0"/>
            <w:vAlign w:val="top"/>
          </w:tcPr>
          <w:p>
            <w:pPr>
              <w:numPr>
                <w:ilvl w:val="0"/>
                <w:numId w:val="1"/>
              </w:num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标准主要内容</w:t>
            </w:r>
          </w:p>
          <w:p>
            <w:pPr>
              <w:numPr>
                <w:ilvl w:val="0"/>
                <w:numId w:val="0"/>
              </w:numPr>
              <w:rPr>
                <w:rFonts w:hint="default" w:ascii="Times New Roman" w:hAnsi="Times New Roman" w:eastAsia="仿宋_GB2312" w:cs="Times New Roman"/>
                <w:color w:val="000000"/>
                <w:sz w:val="28"/>
                <w:szCs w:val="28"/>
              </w:rPr>
            </w:pPr>
          </w:p>
          <w:p>
            <w:pPr>
              <w:numPr>
                <w:ilvl w:val="0"/>
                <w:numId w:val="0"/>
              </w:numPr>
              <w:rPr>
                <w:rFonts w:hint="default" w:ascii="Times New Roman" w:hAnsi="Times New Roman" w:eastAsia="仿宋_GB2312" w:cs="Times New Roman"/>
                <w:color w:val="000000"/>
                <w:sz w:val="28"/>
                <w:szCs w:val="28"/>
              </w:rPr>
            </w:pPr>
          </w:p>
          <w:p>
            <w:pPr>
              <w:numPr>
                <w:ilvl w:val="0"/>
                <w:numId w:val="1"/>
              </w:num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关键技术指标</w:t>
            </w:r>
          </w:p>
          <w:p>
            <w:pPr>
              <w:numPr>
                <w:ilvl w:val="0"/>
                <w:numId w:val="0"/>
              </w:numPr>
              <w:rPr>
                <w:rFonts w:hint="default" w:ascii="Times New Roman" w:hAnsi="Times New Roman" w:eastAsia="仿宋_GB2312" w:cs="Times New Roman"/>
                <w:color w:val="000000"/>
                <w:sz w:val="28"/>
                <w:szCs w:val="28"/>
              </w:rPr>
            </w:pPr>
          </w:p>
          <w:p>
            <w:pPr>
              <w:numPr>
                <w:ilvl w:val="0"/>
                <w:numId w:val="0"/>
              </w:numPr>
              <w:rPr>
                <w:rFonts w:hint="default"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与政府标准的关系</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(单选)</w:t>
            </w:r>
          </w:p>
        </w:tc>
        <w:tc>
          <w:tcPr>
            <w:tcW w:w="7613" w:type="dxa"/>
            <w:gridSpan w:val="3"/>
            <w:noWrap w:val="0"/>
            <w:vAlign w:val="top"/>
          </w:tcPr>
          <w:p>
            <w:pPr>
              <w:snapToGrid w:val="0"/>
              <w:ind w:left="244" w:hanging="243" w:hangingChars="87"/>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□填补国家标准或行业标准空白</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□技术指标严于或高于现有国家</w:t>
            </w:r>
            <w:r>
              <w:rPr>
                <w:rFonts w:hint="eastAsia" w:ascii="Times New Roman" w:hAnsi="Times New Roman" w:eastAsia="仿宋_GB2312" w:cs="Times New Roman"/>
                <w:color w:val="000000"/>
                <w:sz w:val="28"/>
                <w:szCs w:val="28"/>
                <w:lang w:eastAsia="zh-CN"/>
              </w:rPr>
              <w:t>标准</w:t>
            </w:r>
            <w:r>
              <w:rPr>
                <w:rFonts w:hint="default" w:ascii="Times New Roman" w:hAnsi="Times New Roman" w:eastAsia="仿宋_GB2312" w:cs="Times New Roman"/>
                <w:color w:val="000000"/>
                <w:sz w:val="28"/>
                <w:szCs w:val="28"/>
              </w:rPr>
              <w:t>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标准应用</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示范效果</w:t>
            </w:r>
          </w:p>
        </w:tc>
        <w:tc>
          <w:tcPr>
            <w:tcW w:w="7613" w:type="dxa"/>
            <w:gridSpan w:val="3"/>
            <w:noWrap w:val="0"/>
            <w:vAlign w:val="top"/>
          </w:tcPr>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协会/联盟应用成效</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区域应用成效（如无，可不填）</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行业应用成效（如无，可不填）</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4、国际/海外应用成效（如无，可不填）</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标准应用前景</w:t>
            </w:r>
          </w:p>
        </w:tc>
        <w:tc>
          <w:tcPr>
            <w:tcW w:w="7613" w:type="dxa"/>
            <w:gridSpan w:val="3"/>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（描述团体标准未来应用的经济和社会效益）</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申报</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1344"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3175" w:type="dxa"/>
            <w:noWrap w:val="0"/>
            <w:vAlign w:val="center"/>
          </w:tcPr>
          <w:p>
            <w:pP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手机号码</w:t>
            </w:r>
          </w:p>
        </w:tc>
        <w:tc>
          <w:tcPr>
            <w:tcW w:w="2543" w:type="dxa"/>
            <w:noWrap w:val="0"/>
            <w:vAlign w:val="center"/>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noWrap w:val="0"/>
            <w:vAlign w:val="top"/>
          </w:tcPr>
          <w:p>
            <w:pPr>
              <w:jc w:val="center"/>
              <w:rPr>
                <w:rFonts w:ascii="Times New Roman" w:hAnsi="Times New Roman" w:eastAsia="仿宋_GB2312" w:cs="Times New Roman"/>
                <w:color w:val="000000"/>
                <w:sz w:val="28"/>
                <w:szCs w:val="28"/>
              </w:rPr>
            </w:pPr>
          </w:p>
        </w:tc>
        <w:tc>
          <w:tcPr>
            <w:tcW w:w="1344"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电子邮箱</w:t>
            </w:r>
          </w:p>
        </w:tc>
        <w:tc>
          <w:tcPr>
            <w:tcW w:w="3175" w:type="dxa"/>
            <w:noWrap w:val="0"/>
            <w:vAlign w:val="center"/>
          </w:tcPr>
          <w:p>
            <w:pP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传    真</w:t>
            </w:r>
          </w:p>
        </w:tc>
        <w:tc>
          <w:tcPr>
            <w:tcW w:w="2543" w:type="dxa"/>
            <w:noWrap w:val="0"/>
            <w:vAlign w:val="center"/>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noWrap w:val="0"/>
            <w:vAlign w:val="center"/>
          </w:tcPr>
          <w:p>
            <w:pPr>
              <w:snapToGrid w:val="0"/>
              <w:jc w:val="center"/>
              <w:rPr>
                <w:rFonts w:ascii="Times New Roman" w:hAnsi="Times New Roman" w:eastAsia="仿宋_GB2312" w:cs="Times New Roman"/>
                <w:color w:val="000000"/>
                <w:sz w:val="28"/>
                <w:szCs w:val="28"/>
              </w:rPr>
            </w:pPr>
          </w:p>
        </w:tc>
        <w:tc>
          <w:tcPr>
            <w:tcW w:w="8957" w:type="dxa"/>
            <w:gridSpan w:val="4"/>
            <w:noWrap w:val="0"/>
            <w:vAlign w:val="center"/>
          </w:tcPr>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noWrap w:val="0"/>
            <w:vAlign w:val="center"/>
          </w:tcPr>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推荐</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1344" w:type="dxa"/>
            <w:noWrap w:val="0"/>
            <w:vAlign w:val="top"/>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3175" w:type="dxa"/>
            <w:noWrap w:val="0"/>
            <w:vAlign w:val="top"/>
          </w:tcPr>
          <w:p>
            <w:pPr>
              <w:jc w:val="cente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联系电话</w:t>
            </w:r>
          </w:p>
        </w:tc>
        <w:tc>
          <w:tcPr>
            <w:tcW w:w="2543" w:type="dxa"/>
            <w:noWrap w:val="0"/>
            <w:vAlign w:val="top"/>
          </w:tcPr>
          <w:p>
            <w:pPr>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noWrap w:val="0"/>
            <w:vAlign w:val="center"/>
          </w:tcPr>
          <w:p>
            <w:pPr>
              <w:snapToGrid w:val="0"/>
              <w:jc w:val="center"/>
              <w:rPr>
                <w:rFonts w:ascii="Times New Roman" w:hAnsi="Times New Roman" w:eastAsia="仿宋_GB2312" w:cs="Times New Roman"/>
                <w:color w:val="000000"/>
                <w:sz w:val="28"/>
                <w:szCs w:val="28"/>
              </w:rPr>
            </w:pPr>
          </w:p>
        </w:tc>
        <w:tc>
          <w:tcPr>
            <w:tcW w:w="8957" w:type="dxa"/>
            <w:gridSpan w:val="4"/>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（推荐意见）</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（盖公章）</w:t>
            </w:r>
          </w:p>
        </w:tc>
      </w:tr>
    </w:tbl>
    <w:p>
      <w:bookmarkStart w:id="0" w:name="_GoBack"/>
      <w:bookmarkEnd w:id="0"/>
    </w:p>
    <w:sectPr>
      <w:footerReference r:id="rId5" w:type="first"/>
      <w:headerReference r:id="rId3" w:type="default"/>
      <w:footerReference r:id="rId4" w:type="default"/>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华文中宋">
    <w:altName w:val="宋体"/>
    <w:panose1 w:val="02010600040101010101"/>
    <w:charset w:val="00"/>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F187F"/>
    <w:multiLevelType w:val="singleLevel"/>
    <w:tmpl w:val="977F187F"/>
    <w:lvl w:ilvl="0" w:tentative="0">
      <w:start w:val="1"/>
      <w:numFmt w:val="decimal"/>
      <w:suff w:val="nothing"/>
      <w:lvlText w:val="%1、"/>
      <w:lvlJc w:val="left"/>
    </w:lvl>
  </w:abstractNum>
  <w:abstractNum w:abstractNumId="1">
    <w:nsid w:val="E7FD8AA3"/>
    <w:multiLevelType w:val="singleLevel"/>
    <w:tmpl w:val="E7FD8A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B677D71"/>
    <w:rsid w:val="35AB3CEB"/>
    <w:rsid w:val="5B677D71"/>
    <w:rsid w:val="67775575"/>
    <w:rsid w:val="6AAD6502"/>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ind w:firstLine="0" w:firstLineChars="0"/>
      <w:jc w:val="center"/>
    </w:pPr>
    <w:rPr>
      <w:rFonts w:eastAsia="黑体"/>
      <w:kern w:val="2"/>
      <w:sz w:val="36"/>
      <w:szCs w:val="36"/>
    </w:rPr>
  </w:style>
  <w:style w:type="character" w:customStyle="1" w:styleId="7">
    <w:name w:val="font41"/>
    <w:basedOn w:val="6"/>
    <w:uiPriority w:val="0"/>
    <w:rPr>
      <w:rFonts w:ascii="仿宋_GB2312" w:eastAsia="仿宋_GB2312" w:cs="仿宋_GB2312"/>
      <w:color w:val="000000"/>
      <w:sz w:val="18"/>
      <w:szCs w:val="18"/>
      <w:u w:val="none"/>
    </w:rPr>
  </w:style>
  <w:style w:type="character" w:customStyle="1" w:styleId="8">
    <w:name w:val="font31"/>
    <w:basedOn w:val="6"/>
    <w:uiPriority w:val="0"/>
    <w:rPr>
      <w:rFonts w:hint="default" w:ascii="Times New Roman" w:hAnsi="Times New Roman" w:cs="Times New Roman"/>
      <w:color w:val="000000"/>
      <w:sz w:val="18"/>
      <w:szCs w:val="18"/>
      <w:u w:val="none"/>
    </w:rPr>
  </w:style>
  <w:style w:type="character" w:customStyle="1" w:styleId="9">
    <w:name w:val="font01"/>
    <w:basedOn w:val="6"/>
    <w:qFormat/>
    <w:uiPriority w:val="0"/>
    <w:rPr>
      <w:rFonts w:ascii="黑体" w:hAnsi="宋体" w:eastAsia="黑体" w:cs="黑体"/>
      <w:color w:val="000000"/>
      <w:sz w:val="32"/>
      <w:szCs w:val="32"/>
      <w:u w:val="none"/>
    </w:rPr>
  </w:style>
  <w:style w:type="character" w:customStyle="1" w:styleId="10">
    <w:name w:val="font21"/>
    <w:basedOn w:val="6"/>
    <w:uiPriority w:val="0"/>
    <w:rPr>
      <w:rFonts w:ascii="仿宋_GB2312" w:eastAsia="仿宋_GB2312" w:cs="仿宋_GB2312"/>
      <w:color w:val="000000"/>
      <w:sz w:val="28"/>
      <w:szCs w:val="28"/>
      <w:u w:val="none"/>
    </w:rPr>
  </w:style>
  <w:style w:type="paragraph" w:customStyle="1" w:styleId="11">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931</Characters>
  <Lines>0</Lines>
  <Paragraphs>0</Paragraphs>
  <TotalTime>0</TotalTime>
  <ScaleCrop>false</ScaleCrop>
  <LinksUpToDate>false</LinksUpToDate>
  <CharactersWithSpaces>933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2022-06-28T01:58:00Z</dcterms:created>
  <dc:creator>薛尤嘉</dc:creator>
  <cp:lastModifiedBy>薛尤嘉</cp:lastModifiedBy>
  <dcterms:modified xsi:type="dcterms:W3CDTF">2022-06-28T06:49:39Z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02D94D71FD4943A4B508B2FC1EB33DB3</vt:lpwstr>
  </property>
</Properties>
</file>