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E60" w:rsidRDefault="00E42E60" w:rsidP="00E42E60">
      <w:pPr>
        <w:jc w:val="center"/>
        <w:rPr>
          <w:rFonts w:ascii="文星简大标宋" w:eastAsia="文星简大标宋"/>
          <w:sz w:val="44"/>
          <w:szCs w:val="44"/>
        </w:rPr>
      </w:pPr>
      <w:r>
        <w:rPr>
          <w:rFonts w:ascii="文星简大标宋" w:eastAsia="文星简大标宋"/>
          <w:sz w:val="44"/>
          <w:szCs w:val="44"/>
        </w:rPr>
        <w:t>关于进一步加强食盐专营管理</w:t>
      </w:r>
    </w:p>
    <w:p w:rsidR="00E42E60" w:rsidRDefault="00E42E60" w:rsidP="00E42E60">
      <w:pPr>
        <w:jc w:val="center"/>
        <w:rPr>
          <w:rFonts w:ascii="文星简大标宋" w:eastAsia="文星简大标宋"/>
          <w:sz w:val="44"/>
          <w:szCs w:val="44"/>
        </w:rPr>
      </w:pPr>
      <w:r>
        <w:rPr>
          <w:rFonts w:ascii="文星简大标宋" w:eastAsia="文星简大标宋"/>
          <w:sz w:val="44"/>
          <w:szCs w:val="44"/>
        </w:rPr>
        <w:t>有关工作的</w:t>
      </w:r>
      <w:r>
        <w:rPr>
          <w:rFonts w:ascii="文星简大标宋" w:eastAsia="文星简大标宋" w:hint="eastAsia"/>
          <w:sz w:val="44"/>
          <w:szCs w:val="44"/>
        </w:rPr>
        <w:t>通知</w:t>
      </w:r>
    </w:p>
    <w:p w:rsidR="00E42E60" w:rsidRDefault="00E42E60" w:rsidP="00E42E60">
      <w:pPr>
        <w:jc w:val="center"/>
        <w:rPr>
          <w:rFonts w:ascii="楷体_GB2312" w:eastAsia="楷体_GB2312"/>
          <w:sz w:val="32"/>
        </w:rPr>
      </w:pPr>
    </w:p>
    <w:p w:rsidR="00E42E60" w:rsidRDefault="00E42E60" w:rsidP="00E42E60">
      <w:pPr>
        <w:rPr>
          <w:rFonts w:ascii="楷体_GB2312" w:eastAsia="楷体_GB2312"/>
          <w:sz w:val="32"/>
        </w:rPr>
      </w:pPr>
      <w:r>
        <w:rPr>
          <w:sz w:val="32"/>
        </w:rPr>
        <w:t>各市（含定州、辛集市）人民政府、雄安新区管委会：</w:t>
      </w:r>
    </w:p>
    <w:p w:rsidR="00E42E60" w:rsidRDefault="00E42E60" w:rsidP="00E42E60">
      <w:pPr>
        <w:ind w:firstLineChars="200" w:firstLine="640"/>
        <w:rPr>
          <w:sz w:val="32"/>
        </w:rPr>
      </w:pPr>
      <w:r>
        <w:rPr>
          <w:sz w:val="32"/>
        </w:rPr>
        <w:t>为深入贯彻落实</w:t>
      </w:r>
      <w:r>
        <w:rPr>
          <w:rFonts w:hint="eastAsia"/>
          <w:sz w:val="32"/>
        </w:rPr>
        <w:t>国务院《食盐专营办法》《盐业体制改革方案》等法律法规和文件</w:t>
      </w:r>
      <w:r>
        <w:rPr>
          <w:sz w:val="32"/>
        </w:rPr>
        <w:t>精神，进一步加强食盐专营管理</w:t>
      </w:r>
      <w:r>
        <w:rPr>
          <w:rFonts w:hint="eastAsia"/>
          <w:sz w:val="32"/>
        </w:rPr>
        <w:t>，加快推进市县盐业监管体制改革，规范食盐专营秩序，确保食盐供应安全，保护消费者身体健康。经省政府同意，</w:t>
      </w:r>
      <w:r>
        <w:rPr>
          <w:sz w:val="32"/>
        </w:rPr>
        <w:t>现将有关</w:t>
      </w:r>
      <w:r>
        <w:rPr>
          <w:rFonts w:hint="eastAsia"/>
          <w:sz w:val="32"/>
        </w:rPr>
        <w:t>事项通知如下：</w:t>
      </w:r>
    </w:p>
    <w:p w:rsidR="00E42E60" w:rsidRDefault="00E42E60" w:rsidP="00E42E60">
      <w:pPr>
        <w:ind w:firstLineChars="200" w:firstLine="640"/>
        <w:rPr>
          <w:rFonts w:ascii="黑体" w:eastAsia="黑体" w:hAnsi="黑体"/>
          <w:sz w:val="32"/>
        </w:rPr>
      </w:pPr>
      <w:r>
        <w:rPr>
          <w:rFonts w:ascii="黑体" w:eastAsia="黑体" w:hAnsi="黑体" w:hint="eastAsia"/>
          <w:sz w:val="32"/>
        </w:rPr>
        <w:t>一</w:t>
      </w:r>
      <w:r>
        <w:rPr>
          <w:rFonts w:ascii="黑体" w:eastAsia="黑体" w:hAnsi="黑体"/>
          <w:sz w:val="32"/>
        </w:rPr>
        <w:t>、完善监管</w:t>
      </w:r>
      <w:r>
        <w:rPr>
          <w:rFonts w:ascii="黑体" w:eastAsia="黑体" w:hAnsi="黑体" w:hint="eastAsia"/>
          <w:sz w:val="32"/>
        </w:rPr>
        <w:t>体</w:t>
      </w:r>
      <w:r>
        <w:rPr>
          <w:rFonts w:ascii="黑体" w:eastAsia="黑体" w:hAnsi="黑体"/>
          <w:sz w:val="32"/>
        </w:rPr>
        <w:t>制，严格规范食盐专营管理</w:t>
      </w:r>
    </w:p>
    <w:p w:rsidR="00E42E60" w:rsidRDefault="00E42E60" w:rsidP="00E42E60">
      <w:pPr>
        <w:ind w:firstLineChars="200" w:firstLine="640"/>
        <w:rPr>
          <w:sz w:val="32"/>
        </w:rPr>
      </w:pPr>
      <w:r>
        <w:rPr>
          <w:rFonts w:ascii="楷体_GB2312" w:eastAsia="楷体_GB2312" w:hint="eastAsia"/>
          <w:sz w:val="32"/>
        </w:rPr>
        <w:t>（一）</w:t>
      </w:r>
      <w:r>
        <w:rPr>
          <w:rFonts w:ascii="楷体_GB2312" w:eastAsia="楷体_GB2312"/>
          <w:sz w:val="32"/>
        </w:rPr>
        <w:t>完善食盐专业化监管体制</w:t>
      </w:r>
      <w:r>
        <w:rPr>
          <w:rFonts w:ascii="楷体_GB2312" w:eastAsia="楷体_GB2312" w:hint="eastAsia"/>
          <w:sz w:val="32"/>
        </w:rPr>
        <w:t>。</w:t>
      </w:r>
      <w:r>
        <w:rPr>
          <w:sz w:val="32"/>
        </w:rPr>
        <w:t>各市（含定州、辛集市）人民政府、雄安新区管委会</w:t>
      </w:r>
      <w:r>
        <w:rPr>
          <w:rFonts w:hint="eastAsia"/>
          <w:sz w:val="32"/>
        </w:rPr>
        <w:t>要认真贯彻落实</w:t>
      </w:r>
      <w:r>
        <w:rPr>
          <w:sz w:val="32"/>
        </w:rPr>
        <w:t>国务院</w:t>
      </w:r>
      <w:r>
        <w:rPr>
          <w:rFonts w:hint="eastAsia"/>
          <w:sz w:val="32"/>
        </w:rPr>
        <w:t>《</w:t>
      </w:r>
      <w:r>
        <w:rPr>
          <w:sz w:val="32"/>
        </w:rPr>
        <w:t>食盐专营办法</w:t>
      </w:r>
      <w:r>
        <w:rPr>
          <w:rFonts w:hint="eastAsia"/>
          <w:sz w:val="32"/>
        </w:rPr>
        <w:t>》</w:t>
      </w:r>
      <w:r>
        <w:rPr>
          <w:sz w:val="32"/>
        </w:rPr>
        <w:t>《盐业体制改革方案》</w:t>
      </w:r>
      <w:r>
        <w:rPr>
          <w:rFonts w:hint="eastAsia"/>
          <w:sz w:val="32"/>
        </w:rPr>
        <w:t>和</w:t>
      </w:r>
      <w:r>
        <w:rPr>
          <w:sz w:val="32"/>
        </w:rPr>
        <w:t>《工业和信息化部办公厅 国家发展和改革委员会办公厅 国家卫生健康委员会办公厅关于进一步加强食盐专营管理有关工作的通知》（工信厅联消费〔2019〕92号）</w:t>
      </w:r>
      <w:r>
        <w:rPr>
          <w:rFonts w:hint="eastAsia"/>
          <w:sz w:val="32"/>
        </w:rPr>
        <w:t>以及</w:t>
      </w:r>
      <w:r>
        <w:rPr>
          <w:sz w:val="32"/>
        </w:rPr>
        <w:t>《中共河北省委机构编制委员会关于省级盐业监管体制改革有关机构编制调整事宜的通知》（冀机编〔2018〕19号）文件要求</w:t>
      </w:r>
      <w:r>
        <w:rPr>
          <w:rFonts w:hint="eastAsia"/>
          <w:sz w:val="32"/>
        </w:rPr>
        <w:t>，</w:t>
      </w:r>
      <w:r>
        <w:rPr>
          <w:sz w:val="32"/>
        </w:rPr>
        <w:t>对本行政区域内盐业体制改革负总责，加强组织领导，</w:t>
      </w:r>
      <w:r>
        <w:rPr>
          <w:rFonts w:hint="eastAsia"/>
          <w:sz w:val="32"/>
        </w:rPr>
        <w:t>加快推进市县盐业监管体制改革，理顺食盐管理体制机制</w:t>
      </w:r>
      <w:r>
        <w:rPr>
          <w:sz w:val="32"/>
        </w:rPr>
        <w:t>。进一步</w:t>
      </w:r>
      <w:r>
        <w:rPr>
          <w:rFonts w:hint="eastAsia"/>
          <w:sz w:val="32"/>
        </w:rPr>
        <w:t>明确盐业主管部门食盐专营管理职能</w:t>
      </w:r>
      <w:r>
        <w:rPr>
          <w:sz w:val="32"/>
        </w:rPr>
        <w:t>，实现政事企完全分开</w:t>
      </w:r>
      <w:r>
        <w:rPr>
          <w:rFonts w:hint="eastAsia"/>
          <w:sz w:val="32"/>
        </w:rPr>
        <w:t>，大力提升食盐专营执法水平，建立公平竞争、监管到位的市场环境，确保2020年12月31日前全面</w:t>
      </w:r>
      <w:r>
        <w:rPr>
          <w:sz w:val="32"/>
        </w:rPr>
        <w:t>完成</w:t>
      </w:r>
      <w:r>
        <w:rPr>
          <w:rFonts w:hint="eastAsia"/>
          <w:sz w:val="32"/>
        </w:rPr>
        <w:t>市县盐</w:t>
      </w:r>
      <w:r>
        <w:rPr>
          <w:sz w:val="32"/>
        </w:rPr>
        <w:t>业监管体制改革</w:t>
      </w:r>
      <w:r>
        <w:rPr>
          <w:rFonts w:hint="eastAsia"/>
          <w:sz w:val="32"/>
        </w:rPr>
        <w:lastRenderedPageBreak/>
        <w:t>各项任务。</w:t>
      </w:r>
    </w:p>
    <w:p w:rsidR="00E42E60" w:rsidRDefault="00E42E60" w:rsidP="00E42E60">
      <w:pPr>
        <w:ind w:firstLineChars="200" w:firstLine="640"/>
        <w:rPr>
          <w:sz w:val="32"/>
        </w:rPr>
      </w:pPr>
      <w:r>
        <w:rPr>
          <w:rFonts w:ascii="楷体_GB2312" w:eastAsia="楷体_GB2312"/>
          <w:sz w:val="32"/>
        </w:rPr>
        <w:t>（</w:t>
      </w:r>
      <w:r>
        <w:rPr>
          <w:rFonts w:ascii="楷体_GB2312" w:eastAsia="楷体_GB2312" w:hint="eastAsia"/>
          <w:sz w:val="32"/>
        </w:rPr>
        <w:t>二</w:t>
      </w:r>
      <w:r>
        <w:rPr>
          <w:rFonts w:ascii="楷体_GB2312" w:eastAsia="楷体_GB2312"/>
          <w:sz w:val="32"/>
        </w:rPr>
        <w:t>）推动食盐安全执法联动。</w:t>
      </w:r>
      <w:r>
        <w:rPr>
          <w:rFonts w:hint="eastAsia"/>
          <w:sz w:val="32"/>
        </w:rPr>
        <w:t>食盐是关系国计民生的基础性商品，加强食盐专营管理事关人民群众身体健康。</w:t>
      </w:r>
      <w:r>
        <w:rPr>
          <w:sz w:val="32"/>
        </w:rPr>
        <w:t>各级盐业主管机构</w:t>
      </w:r>
      <w:r>
        <w:rPr>
          <w:rFonts w:hint="eastAsia"/>
          <w:sz w:val="32"/>
        </w:rPr>
        <w:t>要</w:t>
      </w:r>
      <w:r>
        <w:rPr>
          <w:sz w:val="32"/>
        </w:rPr>
        <w:t>将食盐专营管理工作纳入</w:t>
      </w:r>
      <w:r>
        <w:rPr>
          <w:sz w:val="32"/>
        </w:rPr>
        <w:t>“</w:t>
      </w:r>
      <w:r>
        <w:rPr>
          <w:sz w:val="32"/>
        </w:rPr>
        <w:t>双随机、一公开</w:t>
      </w:r>
      <w:r>
        <w:rPr>
          <w:sz w:val="32"/>
        </w:rPr>
        <w:t>”</w:t>
      </w:r>
      <w:r>
        <w:rPr>
          <w:sz w:val="32"/>
        </w:rPr>
        <w:t>监管检查计划，科学控制抽查比例，突出重点，控制频次，扩大覆盖面，减少执法盲区。加强与发展改革、公安、司法、卫生健康、市场监管等部门密切协作，依法加强食盐安全监管。严格规范食盐专营执法，防止出现过度执法、随意执法和选择性执法等问题，推动食盐专营执法和食盐质量安全执法联动，建立信息沟通、形势会商、案件移交相衔接的协调机制。</w:t>
      </w:r>
    </w:p>
    <w:p w:rsidR="00E42E60" w:rsidRDefault="00E42E60" w:rsidP="00E42E60">
      <w:pPr>
        <w:ind w:firstLineChars="200" w:firstLine="640"/>
        <w:rPr>
          <w:sz w:val="32"/>
        </w:rPr>
      </w:pPr>
      <w:r>
        <w:rPr>
          <w:rFonts w:ascii="楷体_GB2312" w:eastAsia="楷体_GB2312"/>
          <w:sz w:val="32"/>
        </w:rPr>
        <w:t>（</w:t>
      </w:r>
      <w:r>
        <w:rPr>
          <w:rFonts w:ascii="楷体_GB2312" w:eastAsia="楷体_GB2312" w:hint="eastAsia"/>
          <w:sz w:val="32"/>
        </w:rPr>
        <w:t>三</w:t>
      </w:r>
      <w:r>
        <w:rPr>
          <w:rFonts w:ascii="楷体_GB2312" w:eastAsia="楷体_GB2312"/>
          <w:sz w:val="32"/>
        </w:rPr>
        <w:t>）加大</w:t>
      </w:r>
      <w:r>
        <w:rPr>
          <w:rFonts w:ascii="楷体_GB2312" w:eastAsia="楷体_GB2312" w:hint="eastAsia"/>
          <w:sz w:val="32"/>
        </w:rPr>
        <w:t>盐业</w:t>
      </w:r>
      <w:r>
        <w:rPr>
          <w:rFonts w:ascii="楷体_GB2312" w:eastAsia="楷体_GB2312"/>
          <w:sz w:val="32"/>
        </w:rPr>
        <w:t>信用监管力度。</w:t>
      </w:r>
      <w:r>
        <w:rPr>
          <w:sz w:val="32"/>
        </w:rPr>
        <w:t>各级盐业主管机构要严格落实国务院盐业体制改革有关要求，会同有关部门及行业协会建立食盐定点生产批发企业</w:t>
      </w:r>
      <w:r>
        <w:rPr>
          <w:rFonts w:hint="eastAsia"/>
          <w:sz w:val="32"/>
        </w:rPr>
        <w:t>相关</w:t>
      </w:r>
      <w:r>
        <w:rPr>
          <w:sz w:val="32"/>
        </w:rPr>
        <w:t>人员信用记录、公示和联合惩戒制度，纳入国家统一的社会信用体系。加强对食盐定点生产企业、食盐定点批发企业、食盐零售网点、工业盐及其他非食用盐产品生产经营企业的信用监管。</w:t>
      </w:r>
    </w:p>
    <w:p w:rsidR="00E42E60" w:rsidRDefault="00E42E60" w:rsidP="00E42E60">
      <w:pPr>
        <w:ind w:firstLineChars="200" w:firstLine="640"/>
        <w:rPr>
          <w:sz w:val="32"/>
        </w:rPr>
      </w:pPr>
      <w:r>
        <w:rPr>
          <w:rFonts w:ascii="楷体_GB2312" w:eastAsia="楷体_GB2312"/>
          <w:sz w:val="32"/>
        </w:rPr>
        <w:t>（</w:t>
      </w:r>
      <w:r>
        <w:rPr>
          <w:rFonts w:ascii="楷体_GB2312" w:eastAsia="楷体_GB2312" w:hint="eastAsia"/>
          <w:sz w:val="32"/>
        </w:rPr>
        <w:t>四</w:t>
      </w:r>
      <w:r>
        <w:rPr>
          <w:rFonts w:ascii="楷体_GB2312" w:eastAsia="楷体_GB2312"/>
          <w:sz w:val="32"/>
        </w:rPr>
        <w:t>）加强食盐定点企业资质管理。</w:t>
      </w:r>
      <w:r>
        <w:rPr>
          <w:sz w:val="32"/>
        </w:rPr>
        <w:t>各级盐业主管机构要落实食盐定点生产和定点批发制度，加强对辖区内食盐定点生产企业和食盐定点批发企业（以下简称食盐定点企业）资质实行动态管理，对不符合《食盐定点生产企业和食盐定点批发企业规范条件》要求的坚决整改，情节严重的，责令停产停业整顿，直至吊销其食盐定点企业证书。</w:t>
      </w:r>
      <w:r>
        <w:rPr>
          <w:rFonts w:hint="eastAsia"/>
          <w:sz w:val="32"/>
        </w:rPr>
        <w:t>对</w:t>
      </w:r>
      <w:r>
        <w:rPr>
          <w:sz w:val="32"/>
        </w:rPr>
        <w:t>食盐定点企业涂改、倒卖、出租、出</w:t>
      </w:r>
      <w:r>
        <w:rPr>
          <w:sz w:val="32"/>
        </w:rPr>
        <w:lastRenderedPageBreak/>
        <w:t>借或者以其他形式非法转让证书的，依法吊销企业证书。</w:t>
      </w:r>
    </w:p>
    <w:p w:rsidR="00E42E60" w:rsidRDefault="00E42E60" w:rsidP="00E42E60">
      <w:pPr>
        <w:ind w:firstLineChars="200" w:firstLine="640"/>
        <w:rPr>
          <w:sz w:val="32"/>
        </w:rPr>
      </w:pPr>
      <w:r>
        <w:rPr>
          <w:rFonts w:ascii="楷体_GB2312" w:eastAsia="楷体_GB2312"/>
          <w:sz w:val="32"/>
        </w:rPr>
        <w:t>（</w:t>
      </w:r>
      <w:r>
        <w:rPr>
          <w:rFonts w:ascii="楷体_GB2312" w:eastAsia="楷体_GB2312" w:hint="eastAsia"/>
          <w:sz w:val="32"/>
        </w:rPr>
        <w:t>五</w:t>
      </w:r>
      <w:r>
        <w:rPr>
          <w:rFonts w:ascii="楷体_GB2312" w:eastAsia="楷体_GB2312"/>
          <w:sz w:val="32"/>
        </w:rPr>
        <w:t>）规范食盐定点企业生产经营行为。</w:t>
      </w:r>
      <w:r>
        <w:rPr>
          <w:sz w:val="32"/>
        </w:rPr>
        <w:t>各级盐业主管机构</w:t>
      </w:r>
      <w:r>
        <w:rPr>
          <w:rFonts w:hint="eastAsia"/>
          <w:sz w:val="32"/>
        </w:rPr>
        <w:t>要</w:t>
      </w:r>
      <w:r>
        <w:rPr>
          <w:sz w:val="32"/>
        </w:rPr>
        <w:t>会同市场</w:t>
      </w:r>
      <w:r>
        <w:rPr>
          <w:rFonts w:hint="eastAsia"/>
          <w:sz w:val="32"/>
        </w:rPr>
        <w:t>监管等</w:t>
      </w:r>
      <w:r>
        <w:rPr>
          <w:sz w:val="32"/>
        </w:rPr>
        <w:t>有关部门加强食盐生产经营管理</w:t>
      </w:r>
      <w:r>
        <w:rPr>
          <w:rFonts w:hint="eastAsia"/>
          <w:sz w:val="32"/>
        </w:rPr>
        <w:t>和电子商务管理。</w:t>
      </w:r>
      <w:r>
        <w:rPr>
          <w:sz w:val="32"/>
        </w:rPr>
        <w:t>支持省外食盐定点企业依法依规在我省开展食盐经营业务。</w:t>
      </w:r>
    </w:p>
    <w:p w:rsidR="00E42E60" w:rsidRDefault="00E42E60" w:rsidP="00E42E60">
      <w:pPr>
        <w:ind w:firstLineChars="200" w:firstLine="640"/>
        <w:rPr>
          <w:sz w:val="32"/>
        </w:rPr>
      </w:pPr>
      <w:r>
        <w:rPr>
          <w:sz w:val="32"/>
        </w:rPr>
        <w:t>无食盐定点批发证书的企业和个人不得开展食盐电子商务。电子商务平台经营者应当对销售主体查验相关定点批发资质，并要求其在经营活动主页面显著位置公示食盐定点批发企业证书，</w:t>
      </w:r>
      <w:r>
        <w:rPr>
          <w:rFonts w:hint="eastAsia"/>
          <w:sz w:val="32"/>
        </w:rPr>
        <w:t>对</w:t>
      </w:r>
      <w:r>
        <w:rPr>
          <w:sz w:val="32"/>
        </w:rPr>
        <w:t>无食盐定点批发资质</w:t>
      </w:r>
      <w:r>
        <w:rPr>
          <w:rFonts w:hint="eastAsia"/>
          <w:sz w:val="32"/>
        </w:rPr>
        <w:t>的</w:t>
      </w:r>
      <w:r>
        <w:rPr>
          <w:sz w:val="32"/>
        </w:rPr>
        <w:t>，应当立即停止为其提供服务。</w:t>
      </w:r>
    </w:p>
    <w:p w:rsidR="00E42E60" w:rsidRDefault="00E42E60" w:rsidP="00E42E60">
      <w:pPr>
        <w:ind w:firstLineChars="200" w:firstLine="640"/>
        <w:rPr>
          <w:sz w:val="32"/>
        </w:rPr>
      </w:pPr>
      <w:r>
        <w:rPr>
          <w:sz w:val="32"/>
        </w:rPr>
        <w:t>食盐定点企业应按要求建立食盐电子追溯系统并有效运行，确保食盐可追溯。食盐定点生产企业不得和非食盐定点生产企业合作进行</w:t>
      </w:r>
      <w:r>
        <w:rPr>
          <w:sz w:val="32"/>
        </w:rPr>
        <w:t>“</w:t>
      </w:r>
      <w:r>
        <w:rPr>
          <w:sz w:val="32"/>
        </w:rPr>
        <w:t>贴牌</w:t>
      </w:r>
      <w:r>
        <w:rPr>
          <w:sz w:val="32"/>
        </w:rPr>
        <w:t>”</w:t>
      </w:r>
      <w:r>
        <w:rPr>
          <w:sz w:val="32"/>
        </w:rPr>
        <w:t>生产，不得在证书载明的生产地址之外生产加工食盐。食盐零售单位购进食盐时，应查验供货者食盐定点批发资质并保存合法有效凭证。</w:t>
      </w:r>
    </w:p>
    <w:p w:rsidR="00E42E60" w:rsidRDefault="00E42E60" w:rsidP="00E42E60">
      <w:pPr>
        <w:ind w:firstLineChars="200" w:firstLine="640"/>
        <w:rPr>
          <w:sz w:val="32"/>
        </w:rPr>
      </w:pPr>
      <w:r>
        <w:rPr>
          <w:sz w:val="32"/>
        </w:rPr>
        <w:t>加强食盐经济运行工作，督导食盐定点企业建立企业统计制度，准确及时完整上报经济运行数据，全面提升经济运行监测预警水平。</w:t>
      </w:r>
    </w:p>
    <w:p w:rsidR="00E42E60" w:rsidRDefault="00E42E60" w:rsidP="00E42E60">
      <w:pPr>
        <w:ind w:firstLineChars="200" w:firstLine="640"/>
        <w:rPr>
          <w:rFonts w:ascii="黑体" w:eastAsia="黑体" w:hAnsi="黑体"/>
          <w:sz w:val="32"/>
        </w:rPr>
      </w:pPr>
      <w:r>
        <w:rPr>
          <w:rFonts w:ascii="黑体" w:eastAsia="黑体" w:hAnsi="黑体" w:hint="eastAsia"/>
          <w:sz w:val="32"/>
        </w:rPr>
        <w:t>二</w:t>
      </w:r>
      <w:r>
        <w:rPr>
          <w:rFonts w:ascii="黑体" w:eastAsia="黑体" w:hAnsi="黑体"/>
          <w:sz w:val="32"/>
        </w:rPr>
        <w:t>、规范未加碘食盐供应渠道，保证合格加碘食盐供应</w:t>
      </w:r>
    </w:p>
    <w:p w:rsidR="00E42E60" w:rsidRDefault="00E42E60" w:rsidP="00E42E60">
      <w:pPr>
        <w:ind w:firstLineChars="200" w:firstLine="640"/>
        <w:rPr>
          <w:b/>
          <w:bCs/>
          <w:sz w:val="32"/>
        </w:rPr>
      </w:pPr>
      <w:r>
        <w:rPr>
          <w:sz w:val="32"/>
        </w:rPr>
        <w:t>各市（含定州、辛集市）人民政府、雄安新区管委会</w:t>
      </w:r>
      <w:r>
        <w:rPr>
          <w:rFonts w:hint="eastAsia"/>
          <w:sz w:val="32"/>
        </w:rPr>
        <w:t>要把</w:t>
      </w:r>
      <w:r>
        <w:rPr>
          <w:sz w:val="32"/>
        </w:rPr>
        <w:t>食盐加碘消除碘缺乏危害的工作纳入本地区国民经济和社会发展计划，根据当地实际情况，灵活选择政府补贴运销费用或直接补贴贫困人口等方式，保证边远贫困地区和经济欠发达地区吃得上吃得起合格碘盐</w:t>
      </w:r>
      <w:r>
        <w:rPr>
          <w:rFonts w:hint="eastAsia"/>
          <w:sz w:val="32"/>
        </w:rPr>
        <w:t>，切实做好这项政治工程、民生工程和健康工程。</w:t>
      </w:r>
    </w:p>
    <w:p w:rsidR="00E42E60" w:rsidRDefault="00E42E60" w:rsidP="00E42E60">
      <w:pPr>
        <w:ind w:firstLineChars="200" w:firstLine="640"/>
        <w:rPr>
          <w:sz w:val="32"/>
        </w:rPr>
      </w:pPr>
      <w:r>
        <w:rPr>
          <w:sz w:val="32"/>
        </w:rPr>
        <w:lastRenderedPageBreak/>
        <w:t>各级卫生健康部门</w:t>
      </w:r>
      <w:r>
        <w:rPr>
          <w:rFonts w:hint="eastAsia"/>
          <w:sz w:val="32"/>
        </w:rPr>
        <w:t>要</w:t>
      </w:r>
      <w:r>
        <w:rPr>
          <w:sz w:val="32"/>
        </w:rPr>
        <w:t>根据国家水源性高碘地区和高碘病区的划定标准，负责居民饮用水水碘状况调查、重点人群碘营养水平动态监测工作</w:t>
      </w:r>
      <w:r>
        <w:rPr>
          <w:rFonts w:hint="eastAsia"/>
          <w:sz w:val="32"/>
        </w:rPr>
        <w:t>。</w:t>
      </w:r>
      <w:r>
        <w:rPr>
          <w:sz w:val="32"/>
        </w:rPr>
        <w:t>各级盐业主管机构要发挥食盐定点企业的市场供应主体作用，严格规范未加碘食盐供应渠道，指导食盐定点生产企业在一定比例内生产未加碘食盐，并向社会公布辖区内未加碘食盐销售网点信息，组织省内食盐定点批发企业供应未加碘食盐。</w:t>
      </w:r>
    </w:p>
    <w:p w:rsidR="00E42E60" w:rsidRDefault="00E42E60" w:rsidP="00E42E60">
      <w:pPr>
        <w:ind w:firstLineChars="200" w:firstLine="640"/>
        <w:rPr>
          <w:rFonts w:ascii="黑体" w:eastAsia="黑体" w:hAnsi="黑体"/>
          <w:sz w:val="32"/>
        </w:rPr>
      </w:pPr>
      <w:r>
        <w:rPr>
          <w:rFonts w:ascii="黑体" w:eastAsia="黑体" w:hAnsi="黑体" w:hint="eastAsia"/>
          <w:sz w:val="32"/>
        </w:rPr>
        <w:t>三</w:t>
      </w:r>
      <w:r>
        <w:rPr>
          <w:rFonts w:ascii="黑体" w:eastAsia="黑体" w:hAnsi="黑体"/>
          <w:sz w:val="32"/>
        </w:rPr>
        <w:t>、落实食盐储备管理责任，加强食盐供应应急管理</w:t>
      </w:r>
    </w:p>
    <w:p w:rsidR="00E42E60" w:rsidRDefault="00E42E60" w:rsidP="00E42E60">
      <w:pPr>
        <w:ind w:firstLineChars="200" w:firstLine="640"/>
        <w:rPr>
          <w:sz w:val="32"/>
        </w:rPr>
      </w:pPr>
      <w:r>
        <w:rPr>
          <w:rFonts w:hint="eastAsia"/>
          <w:sz w:val="32"/>
        </w:rPr>
        <w:t>各市（含定州、辛集市）人民政府、雄安新区管委会要建立运转高效、权责一致的食盐供应应急保障机制。各级发展改革、粮食和物资储备部门要认真落实政府食盐储备责任，建立健全食盐储备制度。各级盐业主管机构要密切监测食盐市场供应状况，紧急突发情况下要会同价格管理部门及时按程序采取投放食盐储备、临时价格干预等措施，保持食盐价格稳定；各级盐业主管机构制定食盐供应应急预案，并向同级政府应急管理部门备案，在发生突发事件时协调保障食盐供应。</w:t>
      </w:r>
    </w:p>
    <w:p w:rsidR="00E42E60" w:rsidRDefault="00E42E60" w:rsidP="00E42E60">
      <w:pPr>
        <w:ind w:firstLineChars="200" w:firstLine="640"/>
        <w:rPr>
          <w:rFonts w:ascii="黑体" w:eastAsia="黑体" w:hAnsi="黑体"/>
          <w:sz w:val="32"/>
        </w:rPr>
      </w:pPr>
      <w:r>
        <w:rPr>
          <w:rFonts w:ascii="黑体" w:eastAsia="黑体" w:hAnsi="黑体" w:hint="eastAsia"/>
          <w:sz w:val="32"/>
        </w:rPr>
        <w:t>四</w:t>
      </w:r>
      <w:r>
        <w:rPr>
          <w:rFonts w:ascii="黑体" w:eastAsia="黑体" w:hAnsi="黑体"/>
          <w:sz w:val="32"/>
        </w:rPr>
        <w:t>、注重</w:t>
      </w:r>
      <w:r>
        <w:rPr>
          <w:rFonts w:ascii="黑体" w:eastAsia="黑体" w:hAnsi="黑体" w:hint="eastAsia"/>
          <w:sz w:val="32"/>
        </w:rPr>
        <w:t>盐业管理</w:t>
      </w:r>
      <w:r>
        <w:rPr>
          <w:rFonts w:ascii="黑体" w:eastAsia="黑体" w:hAnsi="黑体"/>
          <w:sz w:val="32"/>
        </w:rPr>
        <w:t>政策宣传，大力普及食盐安全</w:t>
      </w:r>
      <w:r>
        <w:rPr>
          <w:rFonts w:ascii="黑体" w:eastAsia="黑体" w:hAnsi="黑体" w:hint="eastAsia"/>
          <w:sz w:val="32"/>
        </w:rPr>
        <w:t>知识</w:t>
      </w:r>
    </w:p>
    <w:p w:rsidR="00E42E60" w:rsidRDefault="00E42E60" w:rsidP="00E42E60">
      <w:pPr>
        <w:ind w:firstLineChars="200" w:firstLine="640"/>
        <w:rPr>
          <w:sz w:val="32"/>
        </w:rPr>
      </w:pPr>
      <w:r>
        <w:rPr>
          <w:sz w:val="32"/>
        </w:rPr>
        <w:t>各级盐业主管机构、卫生健康部门要会同有关部门利用广播电视、报纸杂志、门户网站等多种形式，运用微信、微博等新媒体手段，大力宣传食盐专营政策、碘缺乏危害和合格碘盐辨别方法等常识，引导消费者树立</w:t>
      </w:r>
      <w:r>
        <w:rPr>
          <w:sz w:val="32"/>
        </w:rPr>
        <w:t>“</w:t>
      </w:r>
      <w:r>
        <w:rPr>
          <w:sz w:val="32"/>
        </w:rPr>
        <w:t>科学用盐，健康益智</w:t>
      </w:r>
      <w:r>
        <w:rPr>
          <w:sz w:val="32"/>
        </w:rPr>
        <w:t>”</w:t>
      </w:r>
      <w:r>
        <w:rPr>
          <w:sz w:val="32"/>
        </w:rPr>
        <w:t>生活理念，广泛动员社会力量参与食盐安全监督，引导消费者自觉从正规渠道</w:t>
      </w:r>
      <w:r>
        <w:rPr>
          <w:sz w:val="32"/>
        </w:rPr>
        <w:lastRenderedPageBreak/>
        <w:t>购</w:t>
      </w:r>
      <w:r>
        <w:rPr>
          <w:rFonts w:hint="eastAsia"/>
          <w:sz w:val="32"/>
        </w:rPr>
        <w:t>买</w:t>
      </w:r>
      <w:r>
        <w:rPr>
          <w:sz w:val="32"/>
        </w:rPr>
        <w:t>合格食盐，确保食盐消费安全和社会稳定。</w:t>
      </w:r>
    </w:p>
    <w:p w:rsidR="0004501D" w:rsidRDefault="00E42E60" w:rsidP="00E42E60">
      <w:pPr>
        <w:rPr>
          <w:rFonts w:hint="eastAsia"/>
          <w:sz w:val="32"/>
        </w:rPr>
      </w:pPr>
      <w:r>
        <w:rPr>
          <w:rFonts w:hint="eastAsia"/>
          <w:sz w:val="32"/>
        </w:rPr>
        <w:t>各市（含定州、辛集市）人民政府、雄安新区管委会要认真落实国家和省有关决策部署，加快推进市县盐业监管体制改革，建立起食盐专业化监管体制。省工业和信息化厅会同省发展改革委、省卫生健康委加强调查研究和工作指导，确保食盐专营管理各项工作落实到位。</w:t>
      </w:r>
    </w:p>
    <w:p w:rsidR="00A36D98" w:rsidRPr="00A36D98" w:rsidRDefault="00A36D98" w:rsidP="00A36D98">
      <w:pPr>
        <w:pStyle w:val="2"/>
        <w:ind w:left="600"/>
        <w:rPr>
          <w:rFonts w:hint="eastAsia"/>
        </w:rPr>
      </w:pPr>
    </w:p>
    <w:p w:rsidR="00A36D98" w:rsidRDefault="00A36D98" w:rsidP="00A36D98">
      <w:pPr>
        <w:ind w:leftChars="212" w:left="1916" w:hangingChars="400" w:hanging="1280"/>
        <w:rPr>
          <w:sz w:val="32"/>
        </w:rPr>
      </w:pPr>
      <w:r>
        <w:rPr>
          <w:rFonts w:hint="eastAsia"/>
          <w:sz w:val="32"/>
        </w:rPr>
        <w:t>附件：1</w:t>
      </w:r>
      <w:r>
        <w:rPr>
          <w:sz w:val="32"/>
        </w:rPr>
        <w:t>.</w:t>
      </w:r>
      <w:r>
        <w:rPr>
          <w:rFonts w:hint="eastAsia"/>
          <w:sz w:val="32"/>
        </w:rPr>
        <w:t>工业和信息化部 国家发展改革委 国家卫生健康委</w:t>
      </w:r>
      <w:r>
        <w:rPr>
          <w:sz w:val="32"/>
        </w:rPr>
        <w:t>关于进一步加强食盐专营管理有关工作的通知</w:t>
      </w:r>
    </w:p>
    <w:p w:rsidR="00A36D98" w:rsidRDefault="00A36D98" w:rsidP="00A36D98">
      <w:pPr>
        <w:ind w:firstLineChars="200" w:firstLine="640"/>
        <w:rPr>
          <w:sz w:val="32"/>
        </w:rPr>
      </w:pPr>
      <w:r>
        <w:rPr>
          <w:rFonts w:hint="eastAsia"/>
          <w:sz w:val="32"/>
        </w:rPr>
        <w:t xml:space="preserve">      2</w:t>
      </w:r>
      <w:r>
        <w:rPr>
          <w:sz w:val="32"/>
        </w:rPr>
        <w:t xml:space="preserve">.关于省级盐业监管体制改革有关机构编制调整  </w:t>
      </w:r>
      <w:r>
        <w:rPr>
          <w:rFonts w:hint="eastAsia"/>
          <w:sz w:val="32"/>
        </w:rPr>
        <w:t xml:space="preserve">    </w:t>
      </w:r>
    </w:p>
    <w:p w:rsidR="00A36D98" w:rsidRDefault="00A36D98" w:rsidP="00A36D98">
      <w:pPr>
        <w:ind w:firstLineChars="200" w:firstLine="640"/>
        <w:rPr>
          <w:sz w:val="32"/>
        </w:rPr>
      </w:pPr>
      <w:r>
        <w:rPr>
          <w:rFonts w:hint="eastAsia"/>
          <w:sz w:val="32"/>
        </w:rPr>
        <w:t xml:space="preserve">        </w:t>
      </w:r>
      <w:r>
        <w:rPr>
          <w:sz w:val="32"/>
        </w:rPr>
        <w:t>事宜的通知</w:t>
      </w:r>
    </w:p>
    <w:p w:rsidR="00A36D98" w:rsidRDefault="00A36D98" w:rsidP="00A36D98">
      <w:pPr>
        <w:pStyle w:val="2"/>
        <w:ind w:left="600"/>
        <w:rPr>
          <w:rFonts w:hint="eastAsia"/>
        </w:rPr>
      </w:pPr>
      <w:r>
        <w:rPr>
          <w:rFonts w:hint="eastAsia"/>
          <w:sz w:val="32"/>
        </w:rPr>
        <w:t xml:space="preserve">      3</w:t>
      </w:r>
      <w:r>
        <w:rPr>
          <w:sz w:val="32"/>
        </w:rPr>
        <w:t>.省委编办关于省工业和信息化厅有关职责的通知</w:t>
      </w:r>
    </w:p>
    <w:p w:rsidR="00A36D98" w:rsidRPr="00A36D98" w:rsidRDefault="00A36D98" w:rsidP="00A36D98">
      <w:pPr>
        <w:rPr>
          <w:rFonts w:hint="eastAsia"/>
        </w:rPr>
      </w:pPr>
    </w:p>
    <w:p w:rsidR="00A36D98" w:rsidRPr="00A36D98" w:rsidRDefault="00A36D98" w:rsidP="00A36D98">
      <w:pPr>
        <w:rPr>
          <w:rFonts w:hint="eastAsia"/>
        </w:rPr>
      </w:pPr>
    </w:p>
    <w:p w:rsidR="00A36D98" w:rsidRPr="00A36D98" w:rsidRDefault="00A36D98" w:rsidP="00A36D98">
      <w:pPr>
        <w:rPr>
          <w:rFonts w:hint="eastAsia"/>
        </w:rPr>
      </w:pPr>
    </w:p>
    <w:p w:rsidR="006E614A" w:rsidRDefault="006E614A" w:rsidP="006E614A">
      <w:pPr>
        <w:rPr>
          <w:rFonts w:hint="eastAsia"/>
        </w:rPr>
      </w:pPr>
    </w:p>
    <w:p w:rsidR="006E614A" w:rsidRDefault="006E614A" w:rsidP="006E614A">
      <w:pPr>
        <w:spacing w:line="480" w:lineRule="exact"/>
        <w:ind w:right="26"/>
        <w:jc w:val="left"/>
        <w:rPr>
          <w:sz w:val="32"/>
        </w:rPr>
      </w:pPr>
      <w:r>
        <w:rPr>
          <w:sz w:val="32"/>
        </w:rPr>
        <w:t>河北省工业和信息化厅        河北省发展和改革委员会</w:t>
      </w:r>
    </w:p>
    <w:p w:rsidR="006E614A" w:rsidRDefault="006E614A" w:rsidP="006E614A">
      <w:pPr>
        <w:spacing w:line="480" w:lineRule="exact"/>
        <w:ind w:right="26"/>
        <w:jc w:val="left"/>
        <w:rPr>
          <w:sz w:val="32"/>
        </w:rPr>
      </w:pPr>
    </w:p>
    <w:p w:rsidR="006E614A" w:rsidRDefault="006E614A" w:rsidP="006E614A">
      <w:pPr>
        <w:spacing w:line="480" w:lineRule="exact"/>
        <w:ind w:right="26"/>
        <w:jc w:val="left"/>
        <w:rPr>
          <w:sz w:val="32"/>
        </w:rPr>
      </w:pPr>
    </w:p>
    <w:p w:rsidR="006E614A" w:rsidRDefault="006E614A" w:rsidP="006E614A">
      <w:pPr>
        <w:spacing w:line="480" w:lineRule="exact"/>
        <w:ind w:right="26"/>
        <w:jc w:val="left"/>
        <w:rPr>
          <w:sz w:val="32"/>
        </w:rPr>
      </w:pPr>
    </w:p>
    <w:p w:rsidR="006E614A" w:rsidRDefault="006E614A" w:rsidP="006E614A">
      <w:pPr>
        <w:spacing w:line="480" w:lineRule="exact"/>
        <w:ind w:right="26"/>
        <w:jc w:val="left"/>
        <w:rPr>
          <w:sz w:val="32"/>
        </w:rPr>
      </w:pPr>
      <w:r>
        <w:rPr>
          <w:sz w:val="32"/>
        </w:rPr>
        <w:t xml:space="preserve">                             河北省卫生健康委员会</w:t>
      </w:r>
    </w:p>
    <w:p w:rsidR="006E614A" w:rsidRDefault="006E614A" w:rsidP="006E614A">
      <w:pPr>
        <w:spacing w:line="480" w:lineRule="exact"/>
        <w:ind w:right="26"/>
        <w:rPr>
          <w:rFonts w:hint="eastAsia"/>
          <w:sz w:val="32"/>
        </w:rPr>
      </w:pPr>
      <w:r>
        <w:rPr>
          <w:sz w:val="32"/>
        </w:rPr>
        <w:t xml:space="preserve">　　　　　　　　　　　　　  　  2020年</w:t>
      </w:r>
      <w:r>
        <w:rPr>
          <w:rFonts w:hint="eastAsia"/>
          <w:sz w:val="32"/>
        </w:rPr>
        <w:t>9</w:t>
      </w:r>
      <w:r>
        <w:rPr>
          <w:sz w:val="32"/>
        </w:rPr>
        <w:t>月</w:t>
      </w:r>
      <w:r w:rsidR="00370AB9">
        <w:rPr>
          <w:rFonts w:hint="eastAsia"/>
          <w:sz w:val="32"/>
        </w:rPr>
        <w:t>8</w:t>
      </w:r>
      <w:r>
        <w:rPr>
          <w:sz w:val="32"/>
        </w:rPr>
        <w:t>日</w:t>
      </w:r>
    </w:p>
    <w:p w:rsidR="0032247B" w:rsidRDefault="0032247B" w:rsidP="0032247B">
      <w:pPr>
        <w:pStyle w:val="2"/>
        <w:ind w:left="600"/>
        <w:rPr>
          <w:rFonts w:hint="eastAsia"/>
        </w:rPr>
      </w:pPr>
    </w:p>
    <w:p w:rsidR="0032247B" w:rsidRDefault="0032247B" w:rsidP="0032247B">
      <w:pPr>
        <w:rPr>
          <w:rFonts w:ascii="黑体" w:eastAsia="黑体" w:hAnsi="黑体"/>
          <w:sz w:val="32"/>
        </w:rPr>
      </w:pPr>
      <w:r>
        <w:rPr>
          <w:rFonts w:ascii="黑体" w:eastAsia="黑体" w:hAnsi="黑体"/>
          <w:sz w:val="32"/>
        </w:rPr>
        <w:lastRenderedPageBreak/>
        <w:t>附件</w:t>
      </w:r>
      <w:r>
        <w:rPr>
          <w:rFonts w:ascii="黑体" w:eastAsia="黑体" w:hAnsi="黑体" w:hint="eastAsia"/>
          <w:sz w:val="32"/>
        </w:rPr>
        <w:t>1</w:t>
      </w:r>
    </w:p>
    <w:p w:rsidR="0032247B" w:rsidRDefault="0032247B" w:rsidP="0032247B">
      <w:r>
        <w:rPr>
          <w:noProof/>
        </w:rPr>
        <w:drawing>
          <wp:inline distT="0" distB="0" distL="0" distR="0">
            <wp:extent cx="5983240" cy="8062623"/>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srcRect l="4277" t="4221" r="2785" b="3247"/>
                    <a:stretch>
                      <a:fillRect/>
                    </a:stretch>
                  </pic:blipFill>
                  <pic:spPr bwMode="auto">
                    <a:xfrm>
                      <a:off x="0" y="0"/>
                      <a:ext cx="5986448" cy="8066946"/>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534169" cy="8062622"/>
            <wp:effectExtent l="19050" t="0" r="9381"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l="3288" t="2513" r="2728" b="3926"/>
                    <a:stretch>
                      <a:fillRect/>
                    </a:stretch>
                  </pic:blipFill>
                  <pic:spPr bwMode="auto">
                    <a:xfrm>
                      <a:off x="0" y="0"/>
                      <a:ext cx="5537891" cy="8068044"/>
                    </a:xfrm>
                    <a:prstGeom prst="rect">
                      <a:avLst/>
                    </a:prstGeom>
                    <a:noFill/>
                    <a:ln w="9525">
                      <a:noFill/>
                      <a:miter lim="800000"/>
                      <a:headEnd/>
                      <a:tailEnd/>
                    </a:ln>
                  </pic:spPr>
                </pic:pic>
              </a:graphicData>
            </a:graphic>
          </wp:inline>
        </w:drawing>
      </w:r>
      <w:r>
        <w:rPr>
          <w:noProof/>
        </w:rPr>
        <w:lastRenderedPageBreak/>
        <w:drawing>
          <wp:inline distT="0" distB="0" distL="0" distR="0">
            <wp:extent cx="5621573" cy="7953948"/>
            <wp:effectExtent l="1905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srcRect l="4868" t="2998" r="3654" b="2783"/>
                    <a:stretch>
                      <a:fillRect/>
                    </a:stretch>
                  </pic:blipFill>
                  <pic:spPr bwMode="auto">
                    <a:xfrm>
                      <a:off x="0" y="0"/>
                      <a:ext cx="5624558" cy="7958171"/>
                    </a:xfrm>
                    <a:prstGeom prst="rect">
                      <a:avLst/>
                    </a:prstGeom>
                    <a:noFill/>
                    <a:ln w="9525">
                      <a:noFill/>
                      <a:miter lim="800000"/>
                      <a:headEnd/>
                      <a:tailEnd/>
                    </a:ln>
                  </pic:spPr>
                </pic:pic>
              </a:graphicData>
            </a:graphic>
          </wp:inline>
        </w:drawing>
      </w:r>
      <w:r>
        <w:rPr>
          <w:noProof/>
        </w:rPr>
        <w:lastRenderedPageBreak/>
        <w:drawing>
          <wp:inline distT="0" distB="0" distL="0" distR="0">
            <wp:extent cx="5654804" cy="7954667"/>
            <wp:effectExtent l="19050" t="0" r="3046"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l="3986" t="2721" b="4372"/>
                    <a:stretch>
                      <a:fillRect/>
                    </a:stretch>
                  </pic:blipFill>
                  <pic:spPr bwMode="auto">
                    <a:xfrm>
                      <a:off x="0" y="0"/>
                      <a:ext cx="5657765" cy="7958833"/>
                    </a:xfrm>
                    <a:prstGeom prst="rect">
                      <a:avLst/>
                    </a:prstGeom>
                    <a:noFill/>
                    <a:ln w="9525">
                      <a:noFill/>
                      <a:miter lim="800000"/>
                      <a:headEnd/>
                      <a:tailEnd/>
                    </a:ln>
                  </pic:spPr>
                </pic:pic>
              </a:graphicData>
            </a:graphic>
          </wp:inline>
        </w:drawing>
      </w:r>
      <w:r>
        <w:rPr>
          <w:noProof/>
        </w:rPr>
        <w:lastRenderedPageBreak/>
        <w:drawing>
          <wp:inline distT="0" distB="0" distL="0" distR="0">
            <wp:extent cx="5737913" cy="8184641"/>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srcRect l="4300" t="3561" r="2696" b="2029"/>
                    <a:stretch>
                      <a:fillRect/>
                    </a:stretch>
                  </pic:blipFill>
                  <pic:spPr bwMode="auto">
                    <a:xfrm>
                      <a:off x="0" y="0"/>
                      <a:ext cx="5741556" cy="8189838"/>
                    </a:xfrm>
                    <a:prstGeom prst="rect">
                      <a:avLst/>
                    </a:prstGeom>
                    <a:noFill/>
                    <a:ln w="9525">
                      <a:noFill/>
                      <a:miter lim="800000"/>
                      <a:headEnd/>
                      <a:tailEnd/>
                    </a:ln>
                  </pic:spPr>
                </pic:pic>
              </a:graphicData>
            </a:graphic>
          </wp:inline>
        </w:drawing>
      </w:r>
      <w:r>
        <w:rPr>
          <w:noProof/>
        </w:rPr>
        <w:lastRenderedPageBreak/>
        <w:drawing>
          <wp:inline distT="0" distB="0" distL="0" distR="0">
            <wp:extent cx="5605623" cy="7861178"/>
            <wp:effectExtent l="1905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l="3258"/>
                    <a:stretch>
                      <a:fillRect/>
                    </a:stretch>
                  </pic:blipFill>
                  <pic:spPr bwMode="auto">
                    <a:xfrm>
                      <a:off x="0" y="0"/>
                      <a:ext cx="5611838" cy="7869894"/>
                    </a:xfrm>
                    <a:prstGeom prst="rect">
                      <a:avLst/>
                    </a:prstGeom>
                    <a:noFill/>
                    <a:ln w="9525">
                      <a:noFill/>
                      <a:miter lim="800000"/>
                      <a:headEnd/>
                      <a:tailEnd/>
                    </a:ln>
                  </pic:spPr>
                </pic:pic>
              </a:graphicData>
            </a:graphic>
          </wp:inline>
        </w:drawing>
      </w:r>
    </w:p>
    <w:p w:rsidR="0032247B" w:rsidRDefault="0032247B" w:rsidP="0032247B">
      <w:pPr>
        <w:rPr>
          <w:rFonts w:ascii="黑体" w:eastAsia="黑体" w:hAnsi="黑体"/>
          <w:sz w:val="32"/>
        </w:rPr>
      </w:pPr>
    </w:p>
    <w:p w:rsidR="0032247B" w:rsidRDefault="0032247B" w:rsidP="0032247B">
      <w:pPr>
        <w:rPr>
          <w:rFonts w:ascii="黑体" w:eastAsia="黑体" w:hAnsi="黑体"/>
          <w:sz w:val="32"/>
        </w:rPr>
      </w:pPr>
    </w:p>
    <w:p w:rsidR="0032247B" w:rsidRDefault="0032247B" w:rsidP="0032247B">
      <w:pPr>
        <w:rPr>
          <w:rFonts w:ascii="黑体" w:eastAsia="黑体" w:hAnsi="黑体"/>
          <w:sz w:val="32"/>
        </w:rPr>
      </w:pPr>
      <w:r w:rsidRPr="00EF70E2">
        <w:rPr>
          <w:rFonts w:ascii="黑体" w:eastAsia="黑体" w:hAnsi="黑体" w:hint="eastAsia"/>
          <w:sz w:val="32"/>
        </w:rPr>
        <w:lastRenderedPageBreak/>
        <w:t>附件</w:t>
      </w:r>
      <w:r>
        <w:rPr>
          <w:rFonts w:ascii="黑体" w:eastAsia="黑体" w:hAnsi="黑体" w:hint="eastAsia"/>
          <w:sz w:val="32"/>
        </w:rPr>
        <w:t>2</w:t>
      </w:r>
    </w:p>
    <w:p w:rsidR="0032247B" w:rsidRDefault="0032247B" w:rsidP="0032247B">
      <w:pPr>
        <w:widowControl/>
        <w:jc w:val="left"/>
        <w:rPr>
          <w:noProof/>
        </w:rPr>
      </w:pPr>
      <w:r>
        <w:rPr>
          <w:noProof/>
        </w:rPr>
        <w:drawing>
          <wp:inline distT="0" distB="0" distL="0" distR="0">
            <wp:extent cx="5503317" cy="7935401"/>
            <wp:effectExtent l="19050" t="0" r="2133" b="0"/>
            <wp:docPr id="14" name="图片 1" descr="E:\2020年\13230786258630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年\13230786258630200.jpeg"/>
                    <pic:cNvPicPr>
                      <a:picLocks noChangeAspect="1" noChangeArrowheads="1"/>
                    </pic:cNvPicPr>
                  </pic:nvPicPr>
                  <pic:blipFill>
                    <a:blip r:embed="rId12" cstate="print"/>
                    <a:srcRect l="7278" t="6630"/>
                    <a:stretch>
                      <a:fillRect/>
                    </a:stretch>
                  </pic:blipFill>
                  <pic:spPr bwMode="auto">
                    <a:xfrm>
                      <a:off x="0" y="0"/>
                      <a:ext cx="5510868" cy="7946289"/>
                    </a:xfrm>
                    <a:prstGeom prst="rect">
                      <a:avLst/>
                    </a:prstGeom>
                    <a:noFill/>
                    <a:ln w="9525">
                      <a:noFill/>
                      <a:miter lim="800000"/>
                      <a:headEnd/>
                      <a:tailEnd/>
                    </a:ln>
                  </pic:spPr>
                </pic:pic>
              </a:graphicData>
            </a:graphic>
          </wp:inline>
        </w:drawing>
      </w:r>
      <w:r>
        <w:rPr>
          <w:noProof/>
        </w:rPr>
        <w:br w:type="page"/>
      </w:r>
      <w:r>
        <w:rPr>
          <w:noProof/>
        </w:rPr>
        <w:lastRenderedPageBreak/>
        <w:drawing>
          <wp:inline distT="0" distB="0" distL="0" distR="0">
            <wp:extent cx="5590625" cy="8091025"/>
            <wp:effectExtent l="19050" t="0" r="0" b="0"/>
            <wp:docPr id="15" name="图片 2" descr="E:\2020年\13230786309708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年\13230786309708200.jpeg"/>
                    <pic:cNvPicPr>
                      <a:picLocks noChangeAspect="1" noChangeArrowheads="1"/>
                    </pic:cNvPicPr>
                  </pic:nvPicPr>
                  <pic:blipFill>
                    <a:blip r:embed="rId13" cstate="print"/>
                    <a:srcRect l="7811" t="6117"/>
                    <a:stretch>
                      <a:fillRect/>
                    </a:stretch>
                  </pic:blipFill>
                  <pic:spPr bwMode="auto">
                    <a:xfrm>
                      <a:off x="0" y="0"/>
                      <a:ext cx="5603529" cy="8109700"/>
                    </a:xfrm>
                    <a:prstGeom prst="rect">
                      <a:avLst/>
                    </a:prstGeom>
                    <a:noFill/>
                    <a:ln w="9525">
                      <a:noFill/>
                      <a:miter lim="800000"/>
                      <a:headEnd/>
                      <a:tailEnd/>
                    </a:ln>
                  </pic:spPr>
                </pic:pic>
              </a:graphicData>
            </a:graphic>
          </wp:inline>
        </w:drawing>
      </w:r>
    </w:p>
    <w:p w:rsidR="0032247B" w:rsidRDefault="0032247B" w:rsidP="0032247B">
      <w:pPr>
        <w:rPr>
          <w:rFonts w:ascii="黑体" w:eastAsia="黑体" w:hAnsi="黑体"/>
          <w:sz w:val="32"/>
        </w:rPr>
      </w:pPr>
      <w:r>
        <w:rPr>
          <w:rFonts w:ascii="黑体" w:eastAsia="黑体" w:hAnsi="黑体" w:hint="eastAsia"/>
          <w:sz w:val="32"/>
        </w:rPr>
        <w:t xml:space="preserve">    </w:t>
      </w:r>
    </w:p>
    <w:p w:rsidR="0032247B" w:rsidRPr="005B1453" w:rsidRDefault="0032247B" w:rsidP="0032247B">
      <w:pPr>
        <w:rPr>
          <w:rFonts w:ascii="黑体" w:eastAsia="黑体" w:hAnsi="黑体"/>
          <w:sz w:val="32"/>
        </w:rPr>
      </w:pPr>
      <w:r w:rsidRPr="005B1453">
        <w:rPr>
          <w:rFonts w:ascii="黑体" w:eastAsia="黑体" w:hAnsi="黑体" w:hint="eastAsia"/>
          <w:sz w:val="32"/>
        </w:rPr>
        <w:lastRenderedPageBreak/>
        <w:t>附件</w:t>
      </w:r>
      <w:r>
        <w:rPr>
          <w:rFonts w:ascii="黑体" w:eastAsia="黑体" w:hAnsi="黑体" w:hint="eastAsia"/>
          <w:sz w:val="32"/>
        </w:rPr>
        <w:t>3</w:t>
      </w:r>
    </w:p>
    <w:p w:rsidR="0032247B" w:rsidRDefault="0032247B" w:rsidP="0032247B">
      <w:r>
        <w:rPr>
          <w:noProof/>
        </w:rPr>
        <w:drawing>
          <wp:inline distT="0" distB="0" distL="0" distR="0">
            <wp:extent cx="5473086" cy="8091836"/>
            <wp:effectExtent l="19050" t="0" r="0" b="0"/>
            <wp:docPr id="16" name="图片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14" cstate="print"/>
                    <a:srcRect l="5942" t="6024"/>
                    <a:stretch>
                      <a:fillRect/>
                    </a:stretch>
                  </pic:blipFill>
                  <pic:spPr bwMode="auto">
                    <a:xfrm>
                      <a:off x="0" y="0"/>
                      <a:ext cx="5477876" cy="8098917"/>
                    </a:xfrm>
                    <a:prstGeom prst="rect">
                      <a:avLst/>
                    </a:prstGeom>
                    <a:noFill/>
                    <a:ln w="9525">
                      <a:noFill/>
                      <a:miter lim="800000"/>
                      <a:headEnd/>
                      <a:tailEnd/>
                    </a:ln>
                  </pic:spPr>
                </pic:pic>
              </a:graphicData>
            </a:graphic>
          </wp:inline>
        </w:drawing>
      </w:r>
    </w:p>
    <w:sectPr w:rsidR="0032247B" w:rsidSect="00E42E60">
      <w:footerReference w:type="even" r:id="rId15"/>
      <w:footerReference w:type="default" r:id="rId16"/>
      <w:pgSz w:w="11906" w:h="16838" w:code="9"/>
      <w:pgMar w:top="1440" w:right="1474"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379" w:rsidRDefault="00D36379" w:rsidP="00E42E60">
      <w:r>
        <w:separator/>
      </w:r>
    </w:p>
  </w:endnote>
  <w:endnote w:type="continuationSeparator" w:id="0">
    <w:p w:rsidR="00D36379" w:rsidRDefault="00D36379" w:rsidP="00E42E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文星简大标宋">
    <w:panose1 w:val="0201060900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E60" w:rsidRPr="00E42E60" w:rsidRDefault="00E42E60">
    <w:pPr>
      <w:pStyle w:val="a4"/>
      <w:rPr>
        <w:sz w:val="28"/>
        <w:szCs w:val="28"/>
      </w:rPr>
    </w:pPr>
    <w:r w:rsidRPr="00E42E60">
      <w:rPr>
        <w:rFonts w:hint="eastAsia"/>
        <w:sz w:val="28"/>
        <w:szCs w:val="28"/>
      </w:rPr>
      <w:t>—</w:t>
    </w:r>
    <w:sdt>
      <w:sdtPr>
        <w:rPr>
          <w:sz w:val="28"/>
          <w:szCs w:val="28"/>
        </w:rPr>
        <w:id w:val="111179602"/>
        <w:docPartObj>
          <w:docPartGallery w:val="Page Numbers (Bottom of Page)"/>
          <w:docPartUnique/>
        </w:docPartObj>
      </w:sdtPr>
      <w:sdtContent>
        <w:r w:rsidR="00457FAF" w:rsidRPr="00E42E60">
          <w:rPr>
            <w:sz w:val="28"/>
            <w:szCs w:val="28"/>
          </w:rPr>
          <w:fldChar w:fldCharType="begin"/>
        </w:r>
        <w:r w:rsidRPr="00E42E60">
          <w:rPr>
            <w:sz w:val="28"/>
            <w:szCs w:val="28"/>
          </w:rPr>
          <w:instrText xml:space="preserve"> PAGE   \* MERGEFORMAT </w:instrText>
        </w:r>
        <w:r w:rsidR="00457FAF" w:rsidRPr="00E42E60">
          <w:rPr>
            <w:sz w:val="28"/>
            <w:szCs w:val="28"/>
          </w:rPr>
          <w:fldChar w:fldCharType="separate"/>
        </w:r>
        <w:r w:rsidR="00370AB9" w:rsidRPr="00370AB9">
          <w:rPr>
            <w:noProof/>
            <w:sz w:val="28"/>
            <w:szCs w:val="28"/>
            <w:lang w:val="zh-CN"/>
          </w:rPr>
          <w:t>4</w:t>
        </w:r>
        <w:r w:rsidR="00457FAF" w:rsidRPr="00E42E60">
          <w:rPr>
            <w:sz w:val="28"/>
            <w:szCs w:val="28"/>
          </w:rPr>
          <w:fldChar w:fldCharType="end"/>
        </w:r>
      </w:sdtContent>
    </w:sdt>
    <w:r w:rsidRPr="00E42E60">
      <w:rPr>
        <w:rFonts w:hint="eastAsia"/>
        <w:sz w:val="28"/>
        <w:szCs w:val="28"/>
      </w:rPr>
      <w:t>—</w:t>
    </w:r>
  </w:p>
  <w:p w:rsidR="00E42E60" w:rsidRPr="00E42E60" w:rsidRDefault="00E42E60" w:rsidP="00E42E6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79589"/>
      <w:docPartObj>
        <w:docPartGallery w:val="Page Numbers (Bottom of Page)"/>
        <w:docPartUnique/>
      </w:docPartObj>
    </w:sdtPr>
    <w:sdtEndPr>
      <w:rPr>
        <w:rFonts w:asciiTheme="minorEastAsia" w:eastAsiaTheme="minorEastAsia" w:hAnsiTheme="minorEastAsia" w:cs="Arial"/>
        <w:sz w:val="28"/>
        <w:szCs w:val="28"/>
      </w:rPr>
    </w:sdtEndPr>
    <w:sdtContent>
      <w:p w:rsidR="00E42E60" w:rsidRPr="00E42E60" w:rsidRDefault="00E42E60">
        <w:pPr>
          <w:pStyle w:val="a4"/>
          <w:jc w:val="right"/>
          <w:rPr>
            <w:rFonts w:asciiTheme="minorEastAsia" w:eastAsiaTheme="minorEastAsia" w:hAnsiTheme="minorEastAsia" w:cs="Arial"/>
            <w:sz w:val="28"/>
            <w:szCs w:val="28"/>
          </w:rPr>
        </w:pPr>
        <w:r w:rsidRPr="00E42E60">
          <w:rPr>
            <w:rFonts w:asciiTheme="minorEastAsia" w:eastAsiaTheme="minorEastAsia" w:hAnsiTheme="minorEastAsia" w:cs="Arial"/>
            <w:sz w:val="28"/>
            <w:szCs w:val="28"/>
          </w:rPr>
          <w:t>—</w:t>
        </w:r>
        <w:r w:rsidR="00457FAF" w:rsidRPr="00E42E60">
          <w:rPr>
            <w:rFonts w:asciiTheme="minorEastAsia" w:eastAsiaTheme="minorEastAsia" w:hAnsiTheme="minorEastAsia" w:cs="Arial"/>
            <w:sz w:val="28"/>
            <w:szCs w:val="28"/>
          </w:rPr>
          <w:fldChar w:fldCharType="begin"/>
        </w:r>
        <w:r w:rsidRPr="00E42E60">
          <w:rPr>
            <w:rFonts w:asciiTheme="minorEastAsia" w:eastAsiaTheme="minorEastAsia" w:hAnsiTheme="minorEastAsia" w:cs="Arial"/>
            <w:sz w:val="28"/>
            <w:szCs w:val="28"/>
          </w:rPr>
          <w:instrText xml:space="preserve"> PAGE   \* MERGEFORMAT </w:instrText>
        </w:r>
        <w:r w:rsidR="00457FAF" w:rsidRPr="00E42E60">
          <w:rPr>
            <w:rFonts w:asciiTheme="minorEastAsia" w:eastAsiaTheme="minorEastAsia" w:hAnsiTheme="minorEastAsia" w:cs="Arial"/>
            <w:sz w:val="28"/>
            <w:szCs w:val="28"/>
          </w:rPr>
          <w:fldChar w:fldCharType="separate"/>
        </w:r>
        <w:r w:rsidR="00370AB9" w:rsidRPr="00370AB9">
          <w:rPr>
            <w:rFonts w:asciiTheme="minorEastAsia" w:eastAsiaTheme="minorEastAsia" w:hAnsiTheme="minorEastAsia" w:cs="Arial"/>
            <w:noProof/>
            <w:sz w:val="28"/>
            <w:szCs w:val="28"/>
            <w:lang w:val="zh-CN"/>
          </w:rPr>
          <w:t>5</w:t>
        </w:r>
        <w:r w:rsidR="00457FAF" w:rsidRPr="00E42E60">
          <w:rPr>
            <w:rFonts w:asciiTheme="minorEastAsia" w:eastAsiaTheme="minorEastAsia" w:hAnsiTheme="minorEastAsia" w:cs="Arial"/>
            <w:sz w:val="28"/>
            <w:szCs w:val="28"/>
          </w:rPr>
          <w:fldChar w:fldCharType="end"/>
        </w:r>
        <w:r w:rsidRPr="00E42E60">
          <w:rPr>
            <w:rFonts w:asciiTheme="minorEastAsia" w:eastAsiaTheme="minorEastAsia" w:hAnsiTheme="minorEastAsia" w:cs="Arial"/>
            <w:sz w:val="28"/>
            <w:szCs w:val="28"/>
          </w:rPr>
          <w:t>—</w:t>
        </w:r>
      </w:p>
    </w:sdtContent>
  </w:sdt>
  <w:p w:rsidR="00E42E60" w:rsidRDefault="00E42E6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379" w:rsidRDefault="00D36379" w:rsidP="00E42E60">
      <w:r>
        <w:separator/>
      </w:r>
    </w:p>
  </w:footnote>
  <w:footnote w:type="continuationSeparator" w:id="0">
    <w:p w:rsidR="00D36379" w:rsidRDefault="00D36379" w:rsidP="00E42E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evenAndOddHeaders/>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2E60"/>
    <w:rsid w:val="0004501D"/>
    <w:rsid w:val="0032247B"/>
    <w:rsid w:val="00370AB9"/>
    <w:rsid w:val="00423582"/>
    <w:rsid w:val="00457FAF"/>
    <w:rsid w:val="006E614A"/>
    <w:rsid w:val="007706D9"/>
    <w:rsid w:val="00A36D98"/>
    <w:rsid w:val="00A855E3"/>
    <w:rsid w:val="00D36379"/>
    <w:rsid w:val="00E42E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E42E60"/>
    <w:pPr>
      <w:widowControl w:val="0"/>
      <w:jc w:val="both"/>
    </w:pPr>
    <w:rPr>
      <w:rFonts w:ascii="仿宋_GB2312" w:eastAsia="仿宋_GB2312" w:hAnsi="Times New Roman" w:cs="Times New Roman"/>
      <w:kern w:val="0"/>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autoRedefine/>
    <w:uiPriority w:val="39"/>
    <w:semiHidden/>
    <w:unhideWhenUsed/>
    <w:rsid w:val="00E42E60"/>
    <w:pPr>
      <w:ind w:leftChars="200" w:left="420"/>
    </w:pPr>
  </w:style>
  <w:style w:type="paragraph" w:styleId="a3">
    <w:name w:val="header"/>
    <w:basedOn w:val="a"/>
    <w:link w:val="Char"/>
    <w:uiPriority w:val="99"/>
    <w:semiHidden/>
    <w:unhideWhenUsed/>
    <w:rsid w:val="00E42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42E60"/>
    <w:rPr>
      <w:rFonts w:ascii="仿宋_GB2312" w:eastAsia="仿宋_GB2312" w:hAnsi="Times New Roman" w:cs="Times New Roman"/>
      <w:kern w:val="0"/>
      <w:sz w:val="18"/>
      <w:szCs w:val="18"/>
    </w:rPr>
  </w:style>
  <w:style w:type="paragraph" w:styleId="a4">
    <w:name w:val="footer"/>
    <w:basedOn w:val="a"/>
    <w:link w:val="Char0"/>
    <w:uiPriority w:val="99"/>
    <w:unhideWhenUsed/>
    <w:rsid w:val="00E42E60"/>
    <w:pPr>
      <w:tabs>
        <w:tab w:val="center" w:pos="4153"/>
        <w:tab w:val="right" w:pos="8306"/>
      </w:tabs>
      <w:snapToGrid w:val="0"/>
      <w:jc w:val="left"/>
    </w:pPr>
    <w:rPr>
      <w:sz w:val="18"/>
      <w:szCs w:val="18"/>
    </w:rPr>
  </w:style>
  <w:style w:type="character" w:customStyle="1" w:styleId="Char0">
    <w:name w:val="页脚 Char"/>
    <w:basedOn w:val="a0"/>
    <w:link w:val="a4"/>
    <w:uiPriority w:val="99"/>
    <w:rsid w:val="00E42E60"/>
    <w:rPr>
      <w:rFonts w:ascii="仿宋_GB2312" w:eastAsia="仿宋_GB2312" w:hAnsi="Times New Roman" w:cs="Times New Roman"/>
      <w:kern w:val="0"/>
      <w:sz w:val="18"/>
      <w:szCs w:val="18"/>
    </w:rPr>
  </w:style>
  <w:style w:type="paragraph" w:styleId="a5">
    <w:name w:val="Date"/>
    <w:basedOn w:val="a"/>
    <w:next w:val="a"/>
    <w:link w:val="Char1"/>
    <w:uiPriority w:val="99"/>
    <w:semiHidden/>
    <w:unhideWhenUsed/>
    <w:rsid w:val="0032247B"/>
    <w:pPr>
      <w:ind w:leftChars="2500" w:left="100"/>
    </w:pPr>
  </w:style>
  <w:style w:type="character" w:customStyle="1" w:styleId="Char1">
    <w:name w:val="日期 Char"/>
    <w:basedOn w:val="a0"/>
    <w:link w:val="a5"/>
    <w:uiPriority w:val="99"/>
    <w:semiHidden/>
    <w:rsid w:val="0032247B"/>
    <w:rPr>
      <w:rFonts w:ascii="仿宋_GB2312" w:eastAsia="仿宋_GB2312" w:hAnsi="Times New Roman" w:cs="Times New Roman"/>
      <w:kern w:val="0"/>
      <w:sz w:val="30"/>
      <w:szCs w:val="32"/>
    </w:rPr>
  </w:style>
  <w:style w:type="paragraph" w:styleId="a6">
    <w:name w:val="Balloon Text"/>
    <w:basedOn w:val="a"/>
    <w:link w:val="Char2"/>
    <w:unhideWhenUsed/>
    <w:rsid w:val="0032247B"/>
    <w:rPr>
      <w:sz w:val="18"/>
      <w:szCs w:val="18"/>
    </w:rPr>
  </w:style>
  <w:style w:type="character" w:customStyle="1" w:styleId="Char2">
    <w:name w:val="批注框文本 Char"/>
    <w:basedOn w:val="a0"/>
    <w:link w:val="a6"/>
    <w:rsid w:val="0032247B"/>
    <w:rPr>
      <w:rFonts w:ascii="仿宋_GB2312" w:eastAsia="仿宋_GB2312"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391</Words>
  <Characters>2232</Characters>
  <Application>Microsoft Office Word</Application>
  <DocSecurity>0</DocSecurity>
  <Lines>18</Lines>
  <Paragraphs>5</Paragraphs>
  <ScaleCrop>false</ScaleCrop>
  <Company/>
  <LinksUpToDate>false</LinksUpToDate>
  <CharactersWithSpaces>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孙西鹏</dc:creator>
  <cp:lastModifiedBy>孙西鹏</cp:lastModifiedBy>
  <cp:revision>5</cp:revision>
  <dcterms:created xsi:type="dcterms:W3CDTF">2020-09-11T02:36:00Z</dcterms:created>
  <dcterms:modified xsi:type="dcterms:W3CDTF">2020-09-11T02:39:00Z</dcterms:modified>
</cp:coreProperties>
</file>