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</w:t>
      </w:r>
    </w:p>
    <w:p>
      <w:pPr>
        <w:spacing w:line="300" w:lineRule="auto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jc w:val="center"/>
        <w:rPr>
          <w:rFonts w:ascii="仿宋" w:hAnsi="仿宋" w:eastAsia="仿宋"/>
          <w:sz w:val="28"/>
        </w:rPr>
      </w:pPr>
      <w:r>
        <w:rPr>
          <w:rFonts w:hint="eastAsia" w:ascii="黑体" w:hAnsi="黑体" w:eastAsia="黑体"/>
          <w:b/>
          <w:kern w:val="36"/>
          <w:sz w:val="44"/>
          <w:szCs w:val="44"/>
        </w:rPr>
        <w:t>工业互联网APP优秀解决方案申报书</w:t>
      </w:r>
    </w:p>
    <w:p>
      <w:pPr>
        <w:spacing w:line="300" w:lineRule="auto"/>
        <w:rPr>
          <w:rFonts w:ascii="仿宋" w:hAnsi="仿宋" w:eastAsia="仿宋"/>
          <w:sz w:val="28"/>
        </w:rPr>
      </w:pPr>
    </w:p>
    <w:p>
      <w:pPr>
        <w:spacing w:line="300" w:lineRule="auto"/>
        <w:rPr>
          <w:rFonts w:ascii="仿宋" w:hAnsi="仿宋" w:eastAsia="仿宋"/>
          <w:sz w:val="28"/>
        </w:rPr>
      </w:pPr>
    </w:p>
    <w:p>
      <w:pPr>
        <w:spacing w:line="300" w:lineRule="auto"/>
        <w:rPr>
          <w:rFonts w:ascii="仿宋" w:hAnsi="仿宋" w:eastAsia="仿宋"/>
          <w:sz w:val="28"/>
        </w:rPr>
      </w:pPr>
    </w:p>
    <w:p>
      <w:pPr>
        <w:spacing w:line="300" w:lineRule="auto"/>
        <w:rPr>
          <w:rFonts w:ascii="仿宋" w:hAnsi="仿宋" w:eastAsia="仿宋"/>
          <w:sz w:val="28"/>
        </w:rPr>
      </w:pPr>
    </w:p>
    <w:p>
      <w:pPr>
        <w:spacing w:line="300" w:lineRule="auto"/>
        <w:ind w:left="424" w:leftChars="202" w:firstLine="720" w:firstLineChars="200"/>
        <w:jc w:val="left"/>
        <w:rPr>
          <w:rFonts w:ascii="仿宋" w:hAnsi="仿宋" w:eastAsia="仿宋"/>
          <w:sz w:val="36"/>
          <w:szCs w:val="36"/>
        </w:rPr>
      </w:pPr>
    </w:p>
    <w:p>
      <w:pPr>
        <w:spacing w:line="300" w:lineRule="auto"/>
        <w:ind w:firstLine="964" w:firstLineChars="3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申报单位: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                         (盖章) </w:t>
      </w:r>
    </w:p>
    <w:p>
      <w:pPr>
        <w:spacing w:line="300" w:lineRule="auto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br w:type="textWrapping"/>
      </w:r>
    </w:p>
    <w:p>
      <w:pPr>
        <w:tabs>
          <w:tab w:val="left" w:pos="8400"/>
        </w:tabs>
        <w:spacing w:line="300" w:lineRule="auto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tabs>
          <w:tab w:val="left" w:pos="8400"/>
        </w:tabs>
        <w:spacing w:line="300" w:lineRule="auto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tabs>
          <w:tab w:val="left" w:pos="8400"/>
        </w:tabs>
        <w:spacing w:line="300" w:lineRule="auto"/>
        <w:rPr>
          <w:rFonts w:ascii="仿宋" w:hAnsi="仿宋" w:eastAsia="仿宋"/>
          <w:b/>
          <w:bCs/>
          <w:sz w:val="32"/>
          <w:szCs w:val="32"/>
          <w:u w:val="single"/>
        </w:rPr>
      </w:pPr>
    </w:p>
    <w:p>
      <w:pPr>
        <w:spacing w:line="30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申报日期: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日</w:t>
      </w:r>
    </w:p>
    <w:p>
      <w:pPr>
        <w:spacing w:line="300" w:lineRule="auto"/>
        <w:rPr>
          <w:rFonts w:ascii="仿宋" w:hAnsi="仿宋" w:eastAsia="仿宋"/>
          <w:b/>
          <w:sz w:val="32"/>
          <w:szCs w:val="32"/>
        </w:rPr>
      </w:pPr>
    </w:p>
    <w:p>
      <w:pPr>
        <w:spacing w:line="300" w:lineRule="auto"/>
        <w:rPr>
          <w:rFonts w:ascii="仿宋" w:hAnsi="仿宋" w:eastAsia="仿宋"/>
          <w:b/>
          <w:sz w:val="32"/>
          <w:szCs w:val="32"/>
        </w:rPr>
      </w:pPr>
    </w:p>
    <w:p>
      <w:pPr>
        <w:spacing w:after="156" w:afterLines="50" w:line="440" w:lineRule="exact"/>
        <w:jc w:val="center"/>
        <w:rPr>
          <w:rFonts w:ascii="黑体" w:hAnsi="黑体" w:eastAsia="黑体"/>
          <w:b/>
          <w:kern w:val="36"/>
          <w:sz w:val="44"/>
          <w:szCs w:val="44"/>
        </w:rPr>
      </w:pPr>
      <w:r>
        <w:rPr>
          <w:rFonts w:hint="eastAsia" w:ascii="仿宋" w:hAnsi="仿宋" w:eastAsia="仿宋"/>
          <w:sz w:val="24"/>
        </w:rPr>
        <w:br w:type="page"/>
      </w:r>
    </w:p>
    <w:p>
      <w:pPr>
        <w:spacing w:line="300" w:lineRule="auto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spacing w:line="300" w:lineRule="auto"/>
        <w:jc w:val="center"/>
        <w:rPr>
          <w:rFonts w:ascii="黑体" w:hAnsi="黑体" w:eastAsia="黑体"/>
          <w:b/>
          <w:kern w:val="36"/>
          <w:sz w:val="44"/>
          <w:szCs w:val="44"/>
        </w:rPr>
      </w:pPr>
      <w:r>
        <w:rPr>
          <w:rFonts w:hint="eastAsia" w:ascii="黑体" w:hAnsi="黑体" w:eastAsia="黑体"/>
          <w:b/>
          <w:kern w:val="36"/>
          <w:sz w:val="44"/>
          <w:szCs w:val="44"/>
        </w:rPr>
        <w:t>承诺申明</w:t>
      </w:r>
    </w:p>
    <w:p/>
    <w:p/>
    <w:p>
      <w:pPr>
        <w:spacing w:line="60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我单位申报的所有材料，均真实、完整，如有不实，愿承担相应的责任。</w:t>
      </w:r>
    </w:p>
    <w:p>
      <w:pPr>
        <w:spacing w:line="60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在不涉及商业机密的情况下，自愿与其他企业分享经验。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公章：</w:t>
      </w:r>
    </w:p>
    <w:p>
      <w:pPr>
        <w:spacing w:line="560" w:lineRule="exact"/>
        <w:ind w:right="640" w:firstLine="5920" w:firstLineChars="185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 月   日</w:t>
      </w:r>
    </w:p>
    <w:tbl>
      <w:tblPr>
        <w:tblStyle w:val="3"/>
        <w:tblpPr w:leftFromText="180" w:rightFromText="180" w:vertAnchor="page" w:horzAnchor="margin" w:tblpY="1756"/>
        <w:tblW w:w="83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9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3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一、企业基本信息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1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企业名称（全称）</w:t>
            </w:r>
          </w:p>
        </w:tc>
        <w:tc>
          <w:tcPr>
            <w:tcW w:w="5939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410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是否属于央企</w:t>
            </w:r>
          </w:p>
        </w:tc>
        <w:tc>
          <w:tcPr>
            <w:tcW w:w="5939" w:type="dxa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□集团本部  □一级子公司  □二级及以下子公司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□非央企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企业类型（多选）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 xml:space="preserve">□软件企业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制造业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所属地区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省份：         地市：         区县：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所属行业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（按主营业务进行填写）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企业性质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□私营企业 □港、澳、台投资企业 □外商投资企业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□股份制企业 □国有企业 □集体所有制企业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□中外合资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是否为上市公司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□是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统一社会信用代码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人员规模（人）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企业地址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企业注册地址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手机/座机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官网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（例如：http://www.example.com）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企业简介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企业在质量、安全、信誉和社会责任等方面的情况说明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Cs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楷体_GB2312" w:hAnsi="楷体_GB2312" w:eastAsia="楷体_GB2312" w:cs="楷体_GB2312"/>
                <w:spacing w:val="-4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4"/>
              </w:rPr>
              <w:t>组织单位意见</w:t>
            </w:r>
          </w:p>
        </w:tc>
        <w:tc>
          <w:tcPr>
            <w:tcW w:w="5939" w:type="dxa"/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  <w:t>年    月   日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right"/>
              <w:rPr>
                <w:rFonts w:hint="eastAsia" w:ascii="楷体_GB2312" w:hAnsi="楷体_GB2312" w:eastAsia="楷体_GB2312" w:cs="楷体_GB2312"/>
                <w:iCs/>
                <w:spacing w:val="-4"/>
                <w:sz w:val="24"/>
              </w:rPr>
            </w:pPr>
          </w:p>
        </w:tc>
      </w:tr>
    </w:tbl>
    <w:p>
      <w:pPr>
        <w:rPr>
          <w:rFonts w:eastAsiaTheme="minorEastAsia"/>
        </w:rPr>
      </w:pPr>
    </w:p>
    <w:p>
      <w:pPr>
        <w:rPr>
          <w:rFonts w:eastAsiaTheme="minorEastAsia"/>
        </w:rPr>
      </w:pPr>
      <w:r>
        <w:rPr>
          <w:rFonts w:eastAsiaTheme="minorEastAsia"/>
        </w:rPr>
        <w:br w:type="page"/>
      </w:r>
    </w:p>
    <w:p>
      <w:pPr>
        <w:rPr>
          <w:rFonts w:eastAsiaTheme="minorEastAsia"/>
        </w:rPr>
      </w:pPr>
    </w:p>
    <w:tbl>
      <w:tblPr>
        <w:tblStyle w:val="3"/>
        <w:tblpPr w:leftFromText="180" w:rightFromText="180" w:vertAnchor="text" w:horzAnchor="margin" w:tblpY="5"/>
        <w:tblW w:w="82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58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二、填报联系人信息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姓名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部门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职务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联系手机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固定电话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联系地址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联系邮箱</w:t>
            </w:r>
          </w:p>
        </w:tc>
        <w:tc>
          <w:tcPr>
            <w:tcW w:w="58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</w:tbl>
    <w:p/>
    <w:p>
      <w:pPr>
        <w:rPr>
          <w:rFonts w:eastAsiaTheme="minorEastAsia"/>
        </w:rPr>
        <w:sectPr>
          <w:pgSz w:w="11900" w:h="16840"/>
          <w:pgMar w:top="1440" w:right="1800" w:bottom="1440" w:left="1800" w:header="851" w:footer="992" w:gutter="0"/>
          <w:cols w:space="720" w:num="1"/>
          <w:docGrid w:linePitch="286" w:charSpace="0"/>
        </w:sectPr>
      </w:pPr>
    </w:p>
    <w:p>
      <w:pPr>
        <w:rPr>
          <w:rFonts w:eastAsiaTheme="minorEastAsia"/>
        </w:rPr>
      </w:pPr>
    </w:p>
    <w:tbl>
      <w:tblPr>
        <w:tblStyle w:val="3"/>
        <w:tblW w:w="8222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977"/>
        <w:gridCol w:w="39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82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三、企业核心竞争力指标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27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经营规模指标</w:t>
            </w:r>
          </w:p>
        </w:tc>
        <w:tc>
          <w:tcPr>
            <w:tcW w:w="297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经营收入总额（万元）</w:t>
            </w:r>
          </w:p>
        </w:tc>
        <w:tc>
          <w:tcPr>
            <w:tcW w:w="396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年利润总额（万元）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资产总额（万元）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员工总数（万元）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工业APP数量(件)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技术创新成效指标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发明专利数量(件)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软件著作权数量(件)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工业APP研发人员比重（%）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上一财年工业APP研发费用投入（万元）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业绩成长指标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近三年工业APP总收入平均增长率（%）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近三年工业APP产品年利润总额平均增长率（%）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近三年工业APP研发团队规模平均增长率（%）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创新能力指标</w:t>
            </w: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企业是否获得融资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□尚未获得融资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□获得天使轮融资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□获得A轮融资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□获得B轮及以上融资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已上市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其他: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企业是否获得创新创业项目资助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□尚未获得资助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□国家级资助：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u w:val="single"/>
              </w:rPr>
              <w:t xml:space="preserve">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□省级资助：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u w:val="single"/>
              </w:rPr>
              <w:t xml:space="preserve">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□市级资助：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u w:val="single"/>
              </w:rPr>
              <w:t xml:space="preserve">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□其它资助：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276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工业APP大赛获奖情况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76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关键业务环节工业技术软件化率（%）</w:t>
            </w:r>
          </w:p>
        </w:tc>
        <w:tc>
          <w:tcPr>
            <w:tcW w:w="39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研发设计：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生产制造：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运营维护：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经营管理：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整体工业技术软件化率：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填报说明：</w:t>
      </w:r>
    </w:p>
    <w:p>
      <w:pPr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1.关键业务环节工业技术软件化率计算方式：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工业技术软件化率=实现工业技术软件化的业务环节数/业务环节总数*100%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统计说明如下：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业务环节数：各行业对业务环节的定义和划分粒度存在一定差异，类似的概念包括：业务环节数、工艺数、流程数等，一般由行业标准或企业标准进行规定，可根据企业具体情况进行梳理。应至少涵盖：对成品的质量、性能、功能、寿命、可靠性及成本等有直接影响环节；产品和服务重要质量特性形成的环节；工艺复杂，质量容易波动，对工人技艺要求高或总是发生问题较多的环节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实现工业技术软件化：针对具体的业务环节、工艺指标、流程，分析其核心技术是否是通过软件的方式作用于工业活动。实现工业技术软件化，既包括直接封装成工业APP的方式，也包括形成供软件使用的某种算法、模型的方式。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  <w:sectPr>
          <w:pgSz w:w="11900" w:h="16840"/>
          <w:pgMar w:top="1440" w:right="1800" w:bottom="1440" w:left="1800" w:header="851" w:footer="992" w:gutter="0"/>
          <w:cols w:space="720" w:num="1"/>
          <w:docGrid w:linePitch="286" w:charSpace="0"/>
        </w:sectPr>
      </w:pPr>
    </w:p>
    <w:tbl>
      <w:tblPr>
        <w:tblStyle w:val="3"/>
        <w:tblW w:w="9390" w:type="dxa"/>
        <w:tblInd w:w="-5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71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3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四、工业互联网APP应用解决方案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应用解决方案名称</w:t>
            </w:r>
          </w:p>
        </w:tc>
        <w:tc>
          <w:tcPr>
            <w:tcW w:w="7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应用解决方案覆盖的业务环节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（可多选）</w:t>
            </w:r>
          </w:p>
        </w:tc>
        <w:tc>
          <w:tcPr>
            <w:tcW w:w="7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研发设计：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 xml:space="preserve">□产品设计 □工艺流程设计 □工艺过程控制设计 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□产线设计 □试制试验 □其他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生产制造：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 xml:space="preserve">□生产计划管理 □生产作业管理 □物料配送管理 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□设备工具管理 □质量检测类 □其他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运营维护：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 xml:space="preserve">□生产监控 □仓储与物流管理 □质量管理 □能源管理 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□故障检测与预警分析 □其他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经营管理：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 xml:space="preserve">□采购管理 □供应链管理 □产业链协同 □风险管控 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□销售管理 □物流配送管理 □售后服务 □其他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□其他：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b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应用解决方案包含工业互联网APP的知识产权归属说明</w:t>
            </w:r>
          </w:p>
        </w:tc>
        <w:tc>
          <w:tcPr>
            <w:tcW w:w="7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应用解决方案内可包含多个工业互联网APP，请简要描述所包含工业互联网APP的知识产权归属情况，例如自研发、购买、购买基础上自研发等。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应用解决方案包含工业互联网APP的重要时间节点</w:t>
            </w:r>
          </w:p>
        </w:tc>
        <w:tc>
          <w:tcPr>
            <w:tcW w:w="7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简要描述解决方案内工业互联网APP的使用情况大事记，包括项目立项、项目建设、项目应用及当前应用状况等信息。</w:t>
            </w: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jc w:val="lef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9" w:hRule="atLeast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应用成效</w:t>
            </w:r>
          </w:p>
        </w:tc>
        <w:tc>
          <w:tcPr>
            <w:tcW w:w="7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用数据说明工业互联网APP应用解决方案已经取得的应用成效。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9" w:hRule="atLeast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创新性经验</w:t>
            </w:r>
          </w:p>
        </w:tc>
        <w:tc>
          <w:tcPr>
            <w:tcW w:w="7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说明在工业互联网APP应用解决方案的应用，企业在研发设计、生产制造、运营维护和经营管理等方面取得的创新性经验。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3" w:hRule="atLeast"/>
        </w:trPr>
        <w:tc>
          <w:tcPr>
            <w:tcW w:w="226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before="48" w:beforeLines="20" w:line="3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典型经验案例</w:t>
            </w:r>
          </w:p>
        </w:tc>
        <w:tc>
          <w:tcPr>
            <w:tcW w:w="712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典型经验案例按以下五部分展开：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1.名称（命名采用“‘企业名称’+‘应用解决方案’”的方式）。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2.概述（简要说明工业互联网APP及应用解决方案的基本情况）。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3.背景（说明原来的状态和希望解决的问题）。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4.典型经验案例。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5.实践及效果（说明典型经验案例在实践中如何应用，用实例和数据说明带来的变化和效果）。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典型经验案例要求：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1.案例不是若干项工作或APP功能的罗列。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2.案例可图文并茂，便于经验的传播和推广。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3.案例字数在3000-5000字之间。</w:t>
            </w:r>
          </w:p>
          <w:p>
            <w:pPr>
              <w:adjustRightInd w:val="0"/>
              <w:snapToGrid w:val="0"/>
              <w:spacing w:before="48" w:beforeLines="20" w:line="300" w:lineRule="exact"/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pacing w:val="-4"/>
                <w:sz w:val="24"/>
              </w:rPr>
              <w:t>4.案例可单独文件形式撰写。</w:t>
            </w:r>
          </w:p>
        </w:tc>
      </w:tr>
    </w:tbl>
    <w:p>
      <w:pPr>
        <w:adjustRightInd w:val="0"/>
        <w:snapToGrid w:val="0"/>
        <w:spacing w:before="48" w:beforeLines="20" w:line="300" w:lineRule="exact"/>
        <w:ind w:left="101" w:leftChars="-295" w:hanging="720" w:hangingChars="309"/>
        <w:jc w:val="left"/>
        <w:rPr>
          <w:rFonts w:hint="eastAsia" w:ascii="仿宋_GB2312" w:hAnsi="仿宋_GB2312" w:eastAsia="仿宋_GB2312" w:cs="仿宋_GB2312"/>
          <w:b/>
          <w:bCs/>
          <w:spacing w:val="-4"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24"/>
        </w:rPr>
        <w:t>填报说明：</w:t>
      </w:r>
    </w:p>
    <w:p>
      <w:pPr>
        <w:adjustRightInd w:val="0"/>
        <w:snapToGrid w:val="0"/>
        <w:spacing w:before="48" w:beforeLines="20" w:line="300" w:lineRule="exact"/>
        <w:ind w:left="117" w:leftChars="-295" w:hanging="736" w:hangingChars="316"/>
        <w:jc w:val="left"/>
        <w:rPr>
          <w:rFonts w:hint="eastAsia" w:ascii="仿宋_GB2312" w:hAnsi="仿宋_GB2312" w:eastAsia="仿宋_GB2312" w:cs="仿宋_GB2312"/>
          <w:b/>
          <w:bCs/>
          <w:spacing w:val="-4"/>
          <w:sz w:val="24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24"/>
        </w:rPr>
        <w:t>1.工业互联网APP按知识来源分类说明：</w:t>
      </w:r>
    </w:p>
    <w:p>
      <w:pPr>
        <w:numPr>
          <w:ilvl w:val="0"/>
          <w:numId w:val="1"/>
        </w:numPr>
        <w:adjustRightInd w:val="0"/>
        <w:snapToGrid w:val="0"/>
        <w:spacing w:before="48" w:beforeLines="20" w:line="300" w:lineRule="exact"/>
        <w:ind w:left="-194" w:leftChars="-95" w:hanging="5"/>
        <w:jc w:val="left"/>
        <w:rPr>
          <w:rFonts w:hint="eastAsia" w:ascii="仿宋_GB2312" w:hAnsi="仿宋_GB2312" w:eastAsia="仿宋_GB2312" w:cs="仿宋_GB2312"/>
          <w:spacing w:val="-4"/>
          <w:sz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</w:rPr>
        <w:t>业务信息化类。面向企业各实际业务场景，将业务管理规范、业务流程管控、业务信息流转等以信息化解决手段封装为工业互联网APP，实现各项业务的信息化管理。</w:t>
      </w:r>
    </w:p>
    <w:p>
      <w:pPr>
        <w:numPr>
          <w:ilvl w:val="0"/>
          <w:numId w:val="1"/>
        </w:numPr>
        <w:adjustRightInd w:val="0"/>
        <w:snapToGrid w:val="0"/>
        <w:spacing w:before="48" w:beforeLines="20" w:line="300" w:lineRule="exact"/>
        <w:ind w:left="-192" w:leftChars="-94" w:hanging="5"/>
        <w:jc w:val="left"/>
        <w:rPr>
          <w:rFonts w:hint="eastAsia" w:ascii="仿宋_GB2312" w:hAnsi="仿宋_GB2312" w:eastAsia="仿宋_GB2312" w:cs="仿宋_GB2312"/>
          <w:spacing w:val="-4"/>
          <w:sz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</w:rPr>
        <w:t>数据分析类。基于企业各业务环节中所产生数据的集成，将数据挖掘、数据分析、数据处理等方法封装为工业互联网APP，实现以数据支撑业务管理与决策优化。</w:t>
      </w:r>
    </w:p>
    <w:p>
      <w:pPr>
        <w:numPr>
          <w:ilvl w:val="0"/>
          <w:numId w:val="1"/>
        </w:numPr>
        <w:adjustRightInd w:val="0"/>
        <w:snapToGrid w:val="0"/>
        <w:spacing w:before="48" w:beforeLines="20" w:line="300" w:lineRule="exact"/>
        <w:ind w:left="-192" w:leftChars="-94" w:hanging="5"/>
        <w:jc w:val="left"/>
        <w:rPr>
          <w:rFonts w:hint="eastAsia" w:ascii="仿宋_GB2312" w:hAnsi="仿宋_GB2312" w:eastAsia="仿宋_GB2312" w:cs="仿宋_GB2312"/>
          <w:spacing w:val="-4"/>
          <w:sz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</w:rPr>
        <w:t>知识建模类。基于特定应用场景下归纳提炼的工业经验或机理，通过建立问题求解模型形成工业互联网APP，实现知识的复用和传承。</w:t>
      </w:r>
    </w:p>
    <w:p>
      <w:pPr>
        <w:numPr>
          <w:ilvl w:val="0"/>
          <w:numId w:val="1"/>
        </w:numPr>
        <w:adjustRightInd w:val="0"/>
        <w:snapToGrid w:val="0"/>
        <w:spacing w:before="48" w:beforeLines="20" w:line="300" w:lineRule="exact"/>
        <w:ind w:left="-194" w:leftChars="-95" w:hanging="5"/>
        <w:jc w:val="left"/>
        <w:rPr>
          <w:rFonts w:hint="eastAsia" w:ascii="仿宋_GB2312" w:hAnsi="仿宋_GB2312" w:eastAsia="仿宋_GB2312" w:cs="仿宋_GB2312"/>
          <w:spacing w:val="-4"/>
          <w:sz w:val="24"/>
        </w:rPr>
      </w:pPr>
      <w:r>
        <w:rPr>
          <w:rFonts w:hint="eastAsia" w:ascii="仿宋_GB2312" w:hAnsi="仿宋_GB2312" w:eastAsia="仿宋_GB2312" w:cs="仿宋_GB2312"/>
          <w:spacing w:val="-4"/>
          <w:sz w:val="24"/>
        </w:rPr>
        <w:t>其他。</w:t>
      </w:r>
    </w:p>
    <w:p/>
    <w:sectPr>
      <w:pgSz w:w="11900" w:h="16840"/>
      <w:pgMar w:top="1440" w:right="1800" w:bottom="1440" w:left="1800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D4A80"/>
    <w:multiLevelType w:val="singleLevel"/>
    <w:tmpl w:val="5C1D4A80"/>
    <w:lvl w:ilvl="0" w:tentative="0">
      <w:start w:val="1"/>
      <w:numFmt w:val="lowerLetter"/>
      <w:suff w:val="space"/>
      <w:lvlText w:val="%1)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9E569CD"/>
    <w:rsid w:val="64CA63B9"/>
    <w:rsid w:val="67B5065F"/>
    <w:rsid w:val="68C62E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吕　宁</cp:lastModifiedBy>
  <dcterms:modified xsi:type="dcterms:W3CDTF">2019-12-17T02:10:55Z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