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bidi w:val="0"/>
        <w:adjustRightInd w:val="0"/>
        <w:snapToGrid w:val="0"/>
        <w:spacing w:before="0" w:beforeLines="0" w:beforeAutospacing="0" w:after="0" w:afterLines="0" w:afterAutospacing="0" w:line="600" w:lineRule="exact"/>
        <w:ind w:right="0" w:rightChars="0"/>
        <w:textAlignment w:val="auto"/>
        <w:outlineLvl w:val="9"/>
        <w:rPr>
          <w:rFonts w:hint="eastAsia" w:ascii="黑体" w:hAnsi="黑体" w:eastAsia="黑体"/>
          <w:sz w:val="32"/>
          <w:lang w:val="en-US" w:eastAsia="zh-CN"/>
        </w:rPr>
      </w:pPr>
      <w:r>
        <w:rPr>
          <w:rFonts w:hint="eastAsia" w:ascii="黑体" w:hAnsi="黑体" w:eastAsia="黑体"/>
          <w:sz w:val="32"/>
          <w:lang w:eastAsia="zh-CN"/>
        </w:rPr>
        <w:t>附件</w:t>
      </w:r>
      <w:r>
        <w:rPr>
          <w:rFonts w:hint="eastAsia" w:ascii="黑体" w:hAnsi="黑体" w:eastAsia="黑体"/>
          <w:sz w:val="32"/>
          <w:lang w:val="en-US" w:eastAsia="zh-CN"/>
        </w:rPr>
        <w:t>3</w:t>
      </w:r>
    </w:p>
    <w:p>
      <w:pPr>
        <w:shd w:val="solid" w:color="FFFFFF" w:fill="auto"/>
        <w:kinsoku/>
        <w:autoSpaceDE/>
        <w:autoSpaceDN w:val="0"/>
        <w:spacing w:line="585" w:lineRule="atLeast"/>
        <w:jc w:val="center"/>
        <w:rPr>
          <w:rFonts w:hint="eastAsia" w:ascii="宋体" w:hAnsi="宋体" w:eastAsia="宋体"/>
          <w:b/>
          <w:bCs/>
          <w:snapToGrid/>
          <w:vanish w:val="0"/>
          <w:color w:val="333333"/>
          <w:sz w:val="44"/>
          <w:shd w:val="clear" w:color="auto" w:fill="FFFFFF"/>
          <w:lang w:eastAsia="zh-CN"/>
        </w:rPr>
      </w:pPr>
      <w:r>
        <w:rPr>
          <w:rFonts w:hint="eastAsia" w:ascii="宋体" w:hAnsi="宋体" w:eastAsia="宋体"/>
          <w:b/>
          <w:bCs/>
          <w:snapToGrid/>
          <w:vanish w:val="0"/>
          <w:color w:val="333333"/>
          <w:sz w:val="44"/>
          <w:shd w:val="clear" w:color="auto" w:fill="FFFFFF"/>
        </w:rPr>
        <w:t>简要说明</w:t>
      </w:r>
    </w:p>
    <w:p>
      <w:pPr>
        <w:shd w:val="solid" w:color="FFFFFF" w:fill="auto"/>
        <w:kinsoku/>
        <w:autoSpaceDE/>
        <w:autoSpaceDN w:val="0"/>
        <w:spacing w:line="585" w:lineRule="atLeast"/>
        <w:jc w:val="center"/>
        <w:rPr>
          <w:rFonts w:hint="eastAsia" w:ascii="仿宋_GB2312" w:hAnsi="仿宋_GB2312" w:eastAsia="仿宋_GB2312"/>
          <w:snapToGrid/>
          <w:vanish w:val="0"/>
          <w:color w:val="333333"/>
          <w:sz w:val="32"/>
          <w:shd w:val="clear" w:color="auto" w:fill="FFFFFF"/>
          <w:lang w:eastAsia="zh-CN"/>
        </w:rPr>
      </w:pPr>
      <w:r>
        <w:rPr>
          <w:rFonts w:hint="eastAsia" w:ascii="仿宋_GB2312" w:hAnsi="仿宋_GB2312" w:eastAsia="仿宋_GB2312"/>
          <w:snapToGrid/>
          <w:vanish w:val="0"/>
          <w:color w:val="333333"/>
          <w:sz w:val="32"/>
          <w:shd w:val="clear" w:color="auto" w:fill="FFFFFF"/>
          <w:lang w:eastAsia="zh-CN"/>
        </w:rPr>
        <w:t xml:space="preserve"> </w:t>
      </w:r>
    </w:p>
    <w:p>
      <w:pPr>
        <w:shd w:val="solid" w:color="FFFFFF" w:fill="auto"/>
        <w:kinsoku/>
        <w:autoSpaceDE/>
        <w:autoSpaceDN w:val="0"/>
        <w:spacing w:line="525" w:lineRule="atLeast"/>
        <w:ind w:firstLine="630"/>
        <w:rPr>
          <w:rFonts w:hint="eastAsia" w:ascii="仿宋_GB2312" w:hAnsi="仿宋_GB2312" w:eastAsia="仿宋_GB2312"/>
          <w:snapToGrid/>
          <w:vanish w:val="0"/>
          <w:color w:val="333333"/>
          <w:sz w:val="32"/>
          <w:shd w:val="clear" w:color="auto" w:fill="FFFFFF"/>
          <w:lang w:eastAsia="zh-CN"/>
        </w:rPr>
      </w:pPr>
      <w:r>
        <w:rPr>
          <w:rFonts w:hint="eastAsia" w:ascii="仿宋_GB2312" w:hAnsi="仿宋_GB2312" w:eastAsia="仿宋_GB2312" w:cs="仿宋"/>
          <w:b w:val="0"/>
          <w:bCs w:val="0"/>
          <w:sz w:val="32"/>
          <w:szCs w:val="36"/>
          <w:lang w:val="en-US" w:eastAsia="zh-CN"/>
        </w:rPr>
        <w:t>职业工资指导价位是依据企业薪酬调查数据测算出来的。</w:t>
      </w:r>
      <w:r>
        <w:rPr>
          <w:rFonts w:hint="eastAsia" w:ascii="仿宋_GB2312" w:hAnsi="仿宋_GB2312" w:eastAsia="仿宋_GB2312"/>
          <w:snapToGrid/>
          <w:vanish w:val="0"/>
          <w:color w:val="333333"/>
          <w:sz w:val="32"/>
          <w:shd w:val="clear" w:color="auto" w:fill="FFFFFF"/>
          <w:lang w:eastAsia="zh-CN"/>
        </w:rPr>
        <w:t>企业薪酬调查是以企业中不同职业从业人员工资报酬水平和不同行业企业人工成本状况为调查内容的抽样调查，以期反映我省市场价格状况。本次发布的内容主要包括部分职业工资价位数据。</w:t>
      </w:r>
    </w:p>
    <w:p>
      <w:pPr>
        <w:shd w:val="solid" w:color="FFFFFF" w:fill="auto"/>
        <w:kinsoku/>
        <w:autoSpaceDE/>
        <w:autoSpaceDN w:val="0"/>
        <w:spacing w:line="525" w:lineRule="atLeast"/>
        <w:ind w:firstLine="630"/>
        <w:rPr>
          <w:rFonts w:hint="eastAsia" w:ascii="黑体" w:hAnsi="黑体" w:eastAsia="黑体"/>
          <w:snapToGrid/>
          <w:vanish w:val="0"/>
          <w:color w:val="333333"/>
          <w:sz w:val="32"/>
          <w:shd w:val="clear" w:color="auto" w:fill="FFFFFF"/>
          <w:lang w:eastAsia="zh-CN"/>
        </w:rPr>
      </w:pPr>
      <w:r>
        <w:rPr>
          <w:rFonts w:hint="eastAsia" w:ascii="黑体" w:hAnsi="黑体" w:eastAsia="黑体"/>
          <w:b w:val="0"/>
          <w:i w:val="0"/>
          <w:snapToGrid/>
          <w:vanish w:val="0"/>
          <w:color w:val="333333"/>
          <w:sz w:val="32"/>
          <w:shd w:val="clear" w:color="auto" w:fill="FFFFFF"/>
          <w:lang w:eastAsia="zh-CN"/>
        </w:rPr>
        <w:t>1.主要统计指标解释</w:t>
      </w:r>
    </w:p>
    <w:p>
      <w:pPr>
        <w:pStyle w:val="2"/>
        <w:keepNext w:val="0"/>
        <w:keepLines w:val="0"/>
        <w:pageBreakBefore w:val="0"/>
        <w:shd w:val="clear" w:color="auto" w:fill="FFFFFF"/>
        <w:kinsoku/>
        <w:wordWrap/>
        <w:overflowPunct/>
        <w:topLinePunct w:val="0"/>
        <w:autoSpaceDE/>
        <w:bidi w:val="0"/>
        <w:adjustRightInd w:val="0"/>
        <w:snapToGrid w:val="0"/>
        <w:spacing w:before="0" w:beforeLines="0" w:beforeAutospacing="0" w:after="0" w:afterLines="0" w:afterAutospacing="0" w:line="600" w:lineRule="exact"/>
        <w:ind w:right="0" w:rightChars="0" w:firstLine="640" w:firstLineChars="200"/>
        <w:textAlignment w:val="auto"/>
        <w:outlineLvl w:val="9"/>
        <w:rPr>
          <w:rFonts w:hint="eastAsia" w:ascii="仿宋_GB2312" w:hAnsi="仿宋_GB2312" w:eastAsia="仿宋_GB2312"/>
          <w:snapToGrid/>
          <w:vanish w:val="0"/>
          <w:color w:val="333333"/>
          <w:sz w:val="32"/>
          <w:shd w:val="clear" w:color="auto" w:fill="FFFFFF"/>
          <w:lang w:eastAsia="zh-CN"/>
        </w:rPr>
      </w:pPr>
      <w:r>
        <w:rPr>
          <w:rFonts w:hint="eastAsia" w:ascii="黑体" w:hAnsi="黑体" w:eastAsia="黑体"/>
          <w:b w:val="0"/>
          <w:i w:val="0"/>
          <w:snapToGrid/>
          <w:vanish w:val="0"/>
          <w:color w:val="333333"/>
          <w:sz w:val="32"/>
          <w:shd w:val="clear" w:color="auto" w:fill="FFFFFF"/>
          <w:lang w:eastAsia="zh-CN"/>
        </w:rPr>
        <w:t>分位值</w:t>
      </w:r>
      <w:r>
        <w:rPr>
          <w:rFonts w:hint="eastAsia" w:ascii="黑体" w:hAnsi="黑体" w:eastAsia="黑体"/>
          <w:b w:val="0"/>
          <w:i w:val="0"/>
          <w:snapToGrid/>
          <w:vanish w:val="0"/>
          <w:color w:val="333333"/>
          <w:sz w:val="32"/>
          <w:shd w:val="clear" w:color="auto" w:fill="FFFFFF"/>
          <w:lang w:val="en-US" w:eastAsia="zh-CN"/>
        </w:rPr>
        <w:t xml:space="preserve">  </w:t>
      </w:r>
      <w:r>
        <w:rPr>
          <w:rFonts w:hint="eastAsia" w:ascii="仿宋_GB2312" w:hAnsi="仿宋_GB2312" w:eastAsia="仿宋_GB2312"/>
          <w:b w:val="0"/>
          <w:i w:val="0"/>
          <w:snapToGrid/>
          <w:vanish w:val="0"/>
          <w:color w:val="333333"/>
          <w:sz w:val="32"/>
          <w:shd w:val="clear" w:color="auto" w:fill="FFFFFF"/>
          <w:lang w:val="en-US" w:eastAsia="zh-CN"/>
        </w:rPr>
        <w:t>是</w:t>
      </w:r>
      <w:r>
        <w:rPr>
          <w:rFonts w:hint="eastAsia" w:ascii="仿宋_GB2312" w:hAnsi="仿宋_GB2312" w:eastAsia="仿宋_GB2312"/>
          <w:snapToGrid/>
          <w:vanish w:val="0"/>
          <w:color w:val="333333"/>
          <w:sz w:val="32"/>
          <w:shd w:val="clear" w:color="auto" w:fill="FFFFFF"/>
          <w:lang w:eastAsia="zh-CN"/>
        </w:rPr>
        <w:t>指将数据由低到高排序，在数列中处于相应百分比位置的数据。它表示有相应比例的数据低于或等于该数值。</w:t>
      </w:r>
    </w:p>
    <w:p>
      <w:pPr>
        <w:pStyle w:val="2"/>
        <w:keepNext w:val="0"/>
        <w:keepLines w:val="0"/>
        <w:pageBreakBefore w:val="0"/>
        <w:shd w:val="clear" w:color="auto" w:fill="FFFFFF"/>
        <w:kinsoku/>
        <w:wordWrap/>
        <w:overflowPunct/>
        <w:topLinePunct w:val="0"/>
        <w:autoSpaceDE/>
        <w:bidi w:val="0"/>
        <w:adjustRightInd w:val="0"/>
        <w:snapToGrid w:val="0"/>
        <w:spacing w:before="0" w:beforeLines="0" w:beforeAutospacing="0" w:after="0" w:afterLines="0" w:afterAutospacing="0" w:line="600" w:lineRule="exact"/>
        <w:ind w:right="0" w:rightChars="0" w:firstLine="640" w:firstLineChars="200"/>
        <w:textAlignment w:val="auto"/>
        <w:outlineLvl w:val="9"/>
        <w:rPr>
          <w:rFonts w:hint="eastAsia" w:ascii="仿宋_GB2312" w:hAnsi="仿宋_GB2312" w:eastAsia="仿宋_GB2312"/>
          <w:snapToGrid/>
          <w:vanish w:val="0"/>
          <w:color w:val="333333"/>
          <w:sz w:val="32"/>
          <w:shd w:val="clear" w:color="auto" w:fill="FFFFFF"/>
          <w:lang w:eastAsia="zh-CN"/>
        </w:rPr>
      </w:pPr>
      <w:r>
        <w:rPr>
          <w:rFonts w:hint="eastAsia" w:ascii="黑体" w:hAnsi="黑体" w:eastAsia="黑体"/>
          <w:b w:val="0"/>
          <w:i w:val="0"/>
          <w:snapToGrid/>
          <w:vanish w:val="0"/>
          <w:color w:val="333333"/>
          <w:sz w:val="32"/>
          <w:shd w:val="clear" w:color="auto" w:fill="FFFFFF"/>
          <w:lang w:eastAsia="zh-CN"/>
        </w:rPr>
        <w:t>从业人员</w:t>
      </w:r>
      <w:r>
        <w:rPr>
          <w:rFonts w:hint="eastAsia" w:ascii="黑体" w:hAnsi="黑体" w:eastAsia="黑体"/>
          <w:b w:val="0"/>
          <w:i w:val="0"/>
          <w:snapToGrid/>
          <w:vanish w:val="0"/>
          <w:color w:val="333333"/>
          <w:sz w:val="32"/>
          <w:shd w:val="clear" w:color="auto" w:fill="FFFFFF"/>
          <w:lang w:val="en-US" w:eastAsia="zh-CN"/>
        </w:rPr>
        <w:t xml:space="preserve">  </w:t>
      </w:r>
      <w:r>
        <w:rPr>
          <w:rFonts w:hint="eastAsia" w:ascii="仿宋_GB2312" w:hAnsi="仿宋_GB2312" w:eastAsia="仿宋_GB2312"/>
          <w:b w:val="0"/>
          <w:i w:val="0"/>
          <w:snapToGrid/>
          <w:vanish w:val="0"/>
          <w:color w:val="333333"/>
          <w:sz w:val="32"/>
          <w:shd w:val="clear" w:color="auto" w:fill="FFFFFF"/>
          <w:lang w:val="en-US" w:eastAsia="zh-CN"/>
        </w:rPr>
        <w:t>是</w:t>
      </w:r>
      <w:r>
        <w:rPr>
          <w:rFonts w:hint="eastAsia" w:ascii="仿宋_GB2312" w:hAnsi="仿宋_GB2312" w:eastAsia="仿宋_GB2312"/>
          <w:snapToGrid/>
          <w:vanish w:val="0"/>
          <w:color w:val="333333"/>
          <w:sz w:val="32"/>
          <w:shd w:val="clear" w:color="auto" w:fill="FFFFFF"/>
          <w:lang w:eastAsia="zh-CN"/>
        </w:rPr>
        <w:t>指在本企业工作并取得劳动报酬的人员，包括与企业签订劳动合同或劳务派遣合同的在岗职工。</w:t>
      </w:r>
    </w:p>
    <w:p>
      <w:pPr>
        <w:shd w:val="solid" w:color="FFFFFF" w:fill="auto"/>
        <w:kinsoku/>
        <w:autoSpaceDE/>
        <w:autoSpaceDN w:val="0"/>
        <w:spacing w:line="525" w:lineRule="atLeast"/>
        <w:rPr>
          <w:rFonts w:hint="eastAsia" w:ascii="仿宋_GB2312" w:hAnsi="仿宋_GB2312" w:eastAsia="仿宋_GB2312"/>
          <w:snapToGrid/>
          <w:vanish w:val="0"/>
          <w:color w:val="333333"/>
          <w:sz w:val="32"/>
          <w:shd w:val="clear" w:color="auto" w:fill="FFFFFF"/>
          <w:lang w:eastAsia="zh-CN"/>
        </w:rPr>
      </w:pPr>
      <w:r>
        <w:rPr>
          <w:rFonts w:hint="eastAsia" w:ascii="黑体" w:hAnsi="黑体" w:eastAsia="黑体"/>
          <w:b w:val="0"/>
          <w:i w:val="0"/>
          <w:snapToGrid/>
          <w:vanish w:val="0"/>
          <w:color w:val="333333"/>
          <w:sz w:val="32"/>
          <w:shd w:val="clear" w:color="auto" w:fill="FFFFFF"/>
          <w:lang w:val="en-US" w:eastAsia="zh-CN"/>
        </w:rPr>
        <w:t xml:space="preserve">    </w:t>
      </w:r>
      <w:r>
        <w:rPr>
          <w:rFonts w:hint="eastAsia" w:ascii="黑体" w:hAnsi="黑体" w:eastAsia="黑体"/>
          <w:b w:val="0"/>
          <w:i w:val="0"/>
          <w:snapToGrid/>
          <w:vanish w:val="0"/>
          <w:color w:val="333333"/>
          <w:sz w:val="32"/>
          <w:shd w:val="clear" w:color="auto" w:fill="FFFFFF"/>
          <w:lang w:eastAsia="zh-CN"/>
        </w:rPr>
        <w:t>工资价位</w:t>
      </w:r>
      <w:r>
        <w:rPr>
          <w:rFonts w:hint="eastAsia" w:ascii="黑体" w:hAnsi="黑体" w:eastAsia="黑体"/>
          <w:b w:val="0"/>
          <w:i w:val="0"/>
          <w:snapToGrid/>
          <w:vanish w:val="0"/>
          <w:color w:val="333333"/>
          <w:sz w:val="32"/>
          <w:shd w:val="clear" w:color="auto" w:fill="FFFFFF"/>
          <w:lang w:val="en-US" w:eastAsia="zh-CN"/>
        </w:rPr>
        <w:t xml:space="preserve">  </w:t>
      </w:r>
      <w:r>
        <w:rPr>
          <w:rFonts w:hint="eastAsia" w:ascii="仿宋_GB2312" w:hAnsi="仿宋_GB2312" w:eastAsia="仿宋_GB2312"/>
          <w:b w:val="0"/>
          <w:i w:val="0"/>
          <w:snapToGrid/>
          <w:vanish w:val="0"/>
          <w:color w:val="333333"/>
          <w:sz w:val="32"/>
          <w:shd w:val="clear" w:color="auto" w:fill="FFFFFF"/>
          <w:lang w:val="en-US" w:eastAsia="zh-CN"/>
        </w:rPr>
        <w:t>是</w:t>
      </w:r>
      <w:r>
        <w:rPr>
          <w:rFonts w:hint="eastAsia" w:ascii="仿宋_GB2312" w:hAnsi="仿宋_GB2312" w:eastAsia="仿宋_GB2312"/>
          <w:snapToGrid/>
          <w:vanish w:val="0"/>
          <w:color w:val="333333"/>
          <w:sz w:val="32"/>
          <w:shd w:val="clear" w:color="auto" w:fill="FFFFFF"/>
          <w:lang w:eastAsia="zh-CN"/>
        </w:rPr>
        <w:t>指企业从业人员在报告期内的工资水平，包括基本工资、奖金、津贴和补贴、加班加点工资和特殊情况下支付的工资等，在一定程度上体现了劳动力市场价格水平。</w:t>
      </w:r>
    </w:p>
    <w:p>
      <w:pPr>
        <w:shd w:val="solid" w:color="FFFFFF" w:fill="auto"/>
        <w:kinsoku/>
        <w:autoSpaceDE/>
        <w:autoSpaceDN w:val="0"/>
        <w:spacing w:line="525" w:lineRule="atLeast"/>
        <w:ind w:firstLine="630"/>
        <w:rPr>
          <w:rFonts w:hint="eastAsia" w:ascii="仿宋_GB2312" w:hAnsi="仿宋_GB2312" w:eastAsia="仿宋_GB2312"/>
          <w:snapToGrid/>
          <w:vanish w:val="0"/>
          <w:color w:val="333333"/>
          <w:sz w:val="32"/>
          <w:shd w:val="clear" w:color="auto" w:fill="FFFFFF"/>
          <w:lang w:eastAsia="zh-CN"/>
        </w:rPr>
      </w:pPr>
      <w:r>
        <w:rPr>
          <w:rFonts w:hint="eastAsia" w:ascii="黑体" w:hAnsi="黑体" w:eastAsia="黑体"/>
          <w:b w:val="0"/>
          <w:i w:val="0"/>
          <w:snapToGrid/>
          <w:vanish w:val="0"/>
          <w:color w:val="333333"/>
          <w:sz w:val="32"/>
          <w:shd w:val="clear" w:color="auto" w:fill="FFFFFF"/>
          <w:lang w:eastAsia="zh-CN"/>
        </w:rPr>
        <w:t>职业</w:t>
      </w:r>
      <w:r>
        <w:rPr>
          <w:rFonts w:hint="eastAsia" w:ascii="黑体" w:hAnsi="黑体" w:eastAsia="黑体"/>
          <w:b w:val="0"/>
          <w:i w:val="0"/>
          <w:snapToGrid/>
          <w:vanish w:val="0"/>
          <w:color w:val="333333"/>
          <w:sz w:val="32"/>
          <w:shd w:val="clear" w:color="auto" w:fill="FFFFFF"/>
          <w:lang w:val="en-US" w:eastAsia="zh-CN"/>
        </w:rPr>
        <w:t xml:space="preserve">  </w:t>
      </w:r>
      <w:r>
        <w:rPr>
          <w:rFonts w:hint="eastAsia" w:ascii="仿宋_GB2312" w:hAnsi="仿宋_GB2312" w:eastAsia="仿宋_GB2312"/>
          <w:b w:val="0"/>
          <w:i w:val="0"/>
          <w:snapToGrid/>
          <w:vanish w:val="0"/>
          <w:color w:val="333333"/>
          <w:sz w:val="32"/>
          <w:shd w:val="clear" w:color="auto" w:fill="FFFFFF"/>
          <w:lang w:val="en-US" w:eastAsia="zh-CN"/>
        </w:rPr>
        <w:t>是</w:t>
      </w:r>
      <w:r>
        <w:rPr>
          <w:rFonts w:hint="eastAsia" w:ascii="仿宋_GB2312" w:hAnsi="仿宋_GB2312" w:eastAsia="仿宋_GB2312"/>
          <w:snapToGrid/>
          <w:vanish w:val="0"/>
          <w:color w:val="333333"/>
          <w:sz w:val="32"/>
          <w:shd w:val="clear" w:color="auto" w:fill="FFFFFF"/>
          <w:lang w:eastAsia="zh-CN"/>
        </w:rPr>
        <w:t>指从业人员为获取主要生活来源所从事的社会工作类别。</w:t>
      </w:r>
    </w:p>
    <w:p>
      <w:pPr>
        <w:shd w:val="solid" w:color="FFFFFF" w:fill="auto"/>
        <w:kinsoku/>
        <w:autoSpaceDE/>
        <w:autoSpaceDN w:val="0"/>
        <w:spacing w:line="525" w:lineRule="atLeast"/>
        <w:ind w:firstLine="630"/>
        <w:rPr>
          <w:rFonts w:hint="eastAsia" w:ascii="黑体" w:hAnsi="黑体" w:eastAsia="黑体"/>
          <w:snapToGrid/>
          <w:vanish w:val="0"/>
          <w:color w:val="333333"/>
          <w:sz w:val="32"/>
          <w:shd w:val="clear" w:color="auto" w:fill="FFFFFF"/>
          <w:lang w:eastAsia="zh-CN"/>
        </w:rPr>
      </w:pPr>
      <w:r>
        <w:rPr>
          <w:rFonts w:hint="eastAsia" w:ascii="黑体" w:hAnsi="黑体" w:eastAsia="黑体"/>
          <w:b w:val="0"/>
          <w:i w:val="0"/>
          <w:snapToGrid/>
          <w:vanish w:val="0"/>
          <w:color w:val="333333"/>
          <w:sz w:val="32"/>
          <w:shd w:val="clear" w:color="auto" w:fill="FFFFFF"/>
          <w:lang w:eastAsia="zh-CN"/>
        </w:rPr>
        <w:t>2.调查方法</w:t>
      </w:r>
    </w:p>
    <w:p>
      <w:pPr>
        <w:shd w:val="solid" w:color="FFFFFF" w:fill="auto"/>
        <w:kinsoku/>
        <w:autoSpaceDE/>
        <w:autoSpaceDN w:val="0"/>
        <w:spacing w:line="525" w:lineRule="atLeast"/>
        <w:ind w:firstLine="630"/>
        <w:rPr>
          <w:rFonts w:hint="eastAsia" w:ascii="仿宋_GB2312" w:hAnsi="仿宋_GB2312" w:eastAsia="仿宋_GB2312"/>
          <w:snapToGrid/>
          <w:vanish w:val="0"/>
          <w:color w:val="333333"/>
          <w:sz w:val="32"/>
          <w:shd w:val="clear" w:color="auto" w:fill="FFFFFF"/>
          <w:lang w:eastAsia="zh-CN"/>
        </w:rPr>
      </w:pPr>
      <w:r>
        <w:rPr>
          <w:rFonts w:hint="eastAsia" w:ascii="仿宋_GB2312" w:hAnsi="仿宋_GB2312" w:eastAsia="仿宋_GB2312"/>
          <w:snapToGrid/>
          <w:vanish w:val="0"/>
          <w:color w:val="333333"/>
          <w:sz w:val="32"/>
          <w:shd w:val="clear" w:color="auto" w:fill="FFFFFF"/>
          <w:lang w:eastAsia="zh-CN"/>
        </w:rPr>
        <w:t>调查以全省为总体，采用分层PPS抽样方法，以地区和行业门类为层，层内样本按照与企业从业人员人数成比例的概率抽取。</w:t>
      </w:r>
    </w:p>
    <w:p>
      <w:pPr>
        <w:shd w:val="solid" w:color="FFFFFF" w:fill="auto"/>
        <w:kinsoku/>
        <w:autoSpaceDE/>
        <w:autoSpaceDN w:val="0"/>
        <w:spacing w:line="525" w:lineRule="atLeast"/>
        <w:ind w:firstLine="630"/>
        <w:rPr>
          <w:rFonts w:hint="eastAsia" w:ascii="仿宋_GB2312" w:hAnsi="仿宋_GB2312" w:eastAsia="仿宋_GB2312"/>
          <w:snapToGrid/>
          <w:vanish w:val="0"/>
          <w:color w:val="333333"/>
          <w:sz w:val="32"/>
          <w:shd w:val="clear" w:color="auto" w:fill="FFFFFF"/>
          <w:lang w:eastAsia="zh-CN"/>
        </w:rPr>
      </w:pPr>
      <w:r>
        <w:rPr>
          <w:rFonts w:hint="eastAsia" w:ascii="仿宋_GB2312" w:hAnsi="仿宋_GB2312" w:eastAsia="仿宋_GB2312"/>
          <w:snapToGrid/>
          <w:vanish w:val="0"/>
          <w:color w:val="333333"/>
          <w:sz w:val="32"/>
          <w:shd w:val="clear" w:color="auto" w:fill="FFFFFF"/>
          <w:lang w:eastAsia="zh-CN"/>
        </w:rPr>
        <w:t>各市按照统一的制度方法组织收集调查企业人工成本、从业人员工资报酬等数据，使用人社部统一的信息系统进行数据录入、审核，然后传输至人力资源社会保障部进行统一汇总计算。</w:t>
      </w:r>
    </w:p>
    <w:p>
      <w:pPr>
        <w:shd w:val="solid" w:color="FFFFFF" w:fill="auto"/>
        <w:kinsoku/>
        <w:autoSpaceDE/>
        <w:autoSpaceDN w:val="0"/>
        <w:spacing w:line="525" w:lineRule="atLeast"/>
        <w:ind w:firstLine="630"/>
        <w:rPr>
          <w:rFonts w:hint="eastAsia" w:ascii="黑体" w:hAnsi="黑体" w:eastAsia="黑体"/>
          <w:snapToGrid/>
          <w:vanish w:val="0"/>
          <w:color w:val="333333"/>
          <w:sz w:val="32"/>
          <w:shd w:val="clear" w:color="auto" w:fill="FFFFFF"/>
          <w:lang w:eastAsia="zh-CN"/>
        </w:rPr>
      </w:pPr>
      <w:r>
        <w:rPr>
          <w:rFonts w:hint="eastAsia" w:ascii="黑体" w:hAnsi="黑体" w:eastAsia="黑体"/>
          <w:b w:val="0"/>
          <w:i w:val="0"/>
          <w:snapToGrid/>
          <w:vanish w:val="0"/>
          <w:color w:val="333333"/>
          <w:sz w:val="32"/>
          <w:shd w:val="clear" w:color="auto" w:fill="FFFFFF"/>
          <w:lang w:eastAsia="zh-CN"/>
        </w:rPr>
        <w:t>3.职业划分标准</w:t>
      </w:r>
    </w:p>
    <w:p>
      <w:r>
        <w:rPr>
          <w:rFonts w:hint="eastAsia" w:ascii="仿宋_GB2312" w:hAnsi="仿宋_GB2312" w:eastAsia="仿宋_GB2312"/>
          <w:snapToGrid/>
          <w:vanish w:val="0"/>
          <w:color w:val="333333"/>
          <w:sz w:val="32"/>
          <w:shd w:val="clear" w:color="auto" w:fill="FFFFFF"/>
          <w:lang w:eastAsia="zh-CN"/>
        </w:rPr>
        <w:t>本次调查的职业按《中华人民共和国职业分类大典（2015年修订）》细类划分。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YWQ2YWVlMDU4YTI2Y2JlNjEyNWRkMjk1ZGU1MzYifQ=="/>
  </w:docVars>
  <w:rsids>
    <w:rsidRoot w:val="196C0B18"/>
    <w:rsid w:val="196C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2023-10-07T02:57:00Z</dcterms:created>
  <dc:creator>Administrator</dc:creator>
  <cp:lastModifiedBy>Administrator</cp:lastModifiedBy>
  <dcterms:modified xsi:type="dcterms:W3CDTF">2023-10-07T02:58:16Z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AC1D2AB9E5EB46C891BED3962A2877BD_11</vt:lpwstr>
  </property>
</Properties>
</file>