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default" w:ascii="黑体" w:hAnsi="黑体" w:eastAsia="黑体" w:cs="黑体"/>
          <w:kern w:val="0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撤销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val="en-US" w:eastAsia="zh-CN"/>
        </w:rPr>
        <w:t>家企业</w:t>
      </w: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u w:val="none"/>
          <w:lang w:val="en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天津市</w:t>
      </w: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科技领军（培育）企业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</w:rPr>
        <w:t>入库登记编号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u w:val="none"/>
          <w:lang w:eastAsia="zh-CN"/>
        </w:rPr>
        <w:t>的名单</w:t>
      </w:r>
    </w:p>
    <w:tbl>
      <w:tblPr>
        <w:tblStyle w:val="2"/>
        <w:tblW w:w="9090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797"/>
        <w:gridCol w:w="2349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911201161030612010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LJ20231009BH00139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天津三号线轨道交通运营有限公司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91120116MA06KT8T9K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LP20231031GX00191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3373"/>
    <w:rsid w:val="25F60009"/>
    <w:rsid w:val="5A6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2023-12-27T02:14:00Z</dcterms:created>
  <dc:creator>admin</dc:creator>
  <cp:lastModifiedBy>admin</cp:lastModifiedBy>
  <dcterms:modified xsi:type="dcterms:W3CDTF">2023-12-27T02:18:14Z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