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sz w:val="32"/>
          <w:szCs w:val="32"/>
          <w:lang w:val="en" w:eastAsia="zh-CN"/>
        </w:rPr>
      </w:pPr>
      <w:bookmarkStart w:id="0" w:name="_GoBack"/>
      <w:bookmarkEnd w:id="0"/>
      <w:r>
        <w:rPr>
          <w:rFonts w:hint="eastAsia" w:ascii="仿宋_GB2312" w:hAnsi="仿宋_GB2312" w:eastAsia="仿宋_GB2312" w:cs="仿宋_GB2312"/>
          <w:sz w:val="32"/>
          <w:szCs w:val="32"/>
          <w:lang w:val="en" w:eastAsia="zh-CN"/>
        </w:rPr>
        <w:t>附件：</w:t>
      </w:r>
    </w:p>
    <w:p>
      <w:pPr>
        <w:pStyle w:val="3"/>
        <w:keepNext/>
        <w:keepLines/>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z w:val="36"/>
          <w:szCs w:val="36"/>
          <w:lang w:val="en-US" w:eastAsia="zh-CN"/>
        </w:rPr>
        <w:t>2</w:t>
      </w:r>
      <w:r>
        <w:rPr>
          <w:rFonts w:hint="default" w:ascii="方正小标宋简体" w:hAnsi="方正小标宋简体" w:eastAsia="方正小标宋简体" w:cs="方正小标宋简体"/>
          <w:b w:val="0"/>
          <w:bCs w:val="0"/>
          <w:sz w:val="36"/>
          <w:szCs w:val="36"/>
          <w:lang w:val="en"/>
        </w:rPr>
        <w:t>023</w:t>
      </w:r>
      <w:r>
        <w:rPr>
          <w:rFonts w:hint="eastAsia" w:ascii="方正小标宋简体" w:hAnsi="方正小标宋简体" w:eastAsia="方正小标宋简体" w:cs="方正小标宋简体"/>
          <w:b w:val="0"/>
          <w:bCs w:val="0"/>
          <w:sz w:val="36"/>
          <w:szCs w:val="36"/>
          <w:lang w:val="en" w:eastAsia="zh-CN"/>
        </w:rPr>
        <w:t>年度种业创新重大专项</w:t>
      </w:r>
      <w:r>
        <w:rPr>
          <w:rFonts w:hint="eastAsia" w:ascii="方正小标宋简体" w:hAnsi="方正小标宋简体" w:eastAsia="方正小标宋简体" w:cs="方正小标宋简体"/>
          <w:b w:val="0"/>
          <w:bCs w:val="0"/>
          <w:sz w:val="36"/>
          <w:szCs w:val="36"/>
        </w:rPr>
        <w:t>项目申报指南</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textAlignment w:val="auto"/>
        <w:rPr>
          <w:rFonts w:ascii="黑体" w:hAnsi="黑体" w:eastAsia="黑体" w:cs="黑体"/>
          <w:sz w:val="32"/>
          <w:szCs w:val="32"/>
          <w:lang w:val="en"/>
        </w:rPr>
      </w:pPr>
      <w:r>
        <w:rPr>
          <w:rFonts w:hint="eastAsia" w:ascii="黑体" w:hAnsi="黑体" w:eastAsia="黑体" w:cs="黑体"/>
          <w:sz w:val="32"/>
          <w:szCs w:val="32"/>
          <w:lang w:val="e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eastAsia="仿宋"/>
          <w:bCs/>
          <w:sz w:val="32"/>
          <w:szCs w:val="32"/>
        </w:rPr>
      </w:pPr>
      <w:r>
        <w:rPr>
          <w:rFonts w:hint="eastAsia" w:ascii="仿宋_GB2312" w:hAnsi="宋体" w:eastAsia="仿宋_GB2312" w:cs="Times New Roman"/>
          <w:color w:val="000000"/>
          <w:sz w:val="32"/>
          <w:szCs w:val="32"/>
        </w:rPr>
        <w:t>为贯彻落实</w:t>
      </w:r>
      <w:r>
        <w:rPr>
          <w:rFonts w:hint="eastAsia" w:ascii="仿宋_GB2312" w:hAnsi="宋体" w:eastAsia="仿宋_GB2312" w:cs="Times New Roman"/>
          <w:color w:val="000000"/>
          <w:sz w:val="32"/>
          <w:szCs w:val="32"/>
          <w:lang w:eastAsia="zh-CN"/>
        </w:rPr>
        <w:t>中办国办</w:t>
      </w:r>
      <w:r>
        <w:rPr>
          <w:rFonts w:hint="eastAsia" w:ascii="仿宋_GB2312" w:hAnsi="宋体" w:eastAsia="仿宋_GB2312" w:cs="Times New Roman"/>
          <w:color w:val="000000"/>
          <w:sz w:val="32"/>
          <w:szCs w:val="32"/>
        </w:rPr>
        <w:t>和天津市《种业振兴行动方案》，推动我市种业高质量发展，打好种业翻身仗，加快推进种业</w:t>
      </w:r>
      <w:r>
        <w:rPr>
          <w:rFonts w:hint="eastAsia" w:ascii="仿宋_GB2312" w:hAnsi="宋体" w:eastAsia="仿宋_GB2312" w:cs="Times New Roman"/>
          <w:color w:val="000000"/>
          <w:sz w:val="32"/>
          <w:szCs w:val="32"/>
          <w:lang w:eastAsia="zh-CN"/>
        </w:rPr>
        <w:t>科技创新</w:t>
      </w: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eastAsia="zh-CN"/>
        </w:rPr>
        <w:t>本年度将</w:t>
      </w:r>
      <w:r>
        <w:rPr>
          <w:rFonts w:hint="eastAsia" w:ascii="仿宋_GB2312" w:hAnsi="仿宋_GB2312" w:eastAsia="仿宋_GB2312" w:cs="仿宋_GB2312"/>
          <w:sz w:val="32"/>
          <w:szCs w:val="32"/>
        </w:rPr>
        <w:t>针对</w:t>
      </w:r>
      <w:r>
        <w:rPr>
          <w:rFonts w:hint="eastAsia" w:eastAsia="仿宋"/>
          <w:bCs/>
          <w:sz w:val="32"/>
          <w:szCs w:val="32"/>
        </w:rPr>
        <w:t>我市黄瓜、花椰菜、青萝卜、大白菜</w:t>
      </w:r>
      <w:r>
        <w:rPr>
          <w:rFonts w:hint="eastAsia" w:eastAsia="仿宋"/>
          <w:bCs/>
          <w:sz w:val="32"/>
          <w:szCs w:val="32"/>
          <w:lang w:eastAsia="zh-CN"/>
        </w:rPr>
        <w:t>、优质番茄</w:t>
      </w:r>
      <w:r>
        <w:rPr>
          <w:rFonts w:hint="eastAsia" w:eastAsia="仿宋"/>
          <w:bCs/>
          <w:sz w:val="32"/>
          <w:szCs w:val="32"/>
        </w:rPr>
        <w:t>等</w:t>
      </w:r>
      <w:r>
        <w:rPr>
          <w:rFonts w:hint="eastAsia" w:eastAsia="仿宋"/>
          <w:bCs/>
          <w:sz w:val="32"/>
          <w:szCs w:val="32"/>
          <w:lang w:eastAsia="zh-CN"/>
        </w:rPr>
        <w:t>品种</w:t>
      </w:r>
      <w:r>
        <w:rPr>
          <w:rFonts w:hint="eastAsia" w:eastAsia="仿宋"/>
          <w:bCs/>
          <w:sz w:val="32"/>
          <w:szCs w:val="32"/>
        </w:rPr>
        <w:t>，通过联合攻关，研发与抗病性、抗逆性、关键品质性状等重要农艺性状相关分子标记，建立高通量分子辅助育种技术、基因编辑育种技术、高效单倍体育种技术、杂种优势利用技术（雄性不育、自交不亲和系、雌性系利用），创制抗病（重大病害、新病害）、抗逆 （耐低温弱光、耐高温）、优质、养分高效利用、适于轻简化栽培的优质蔬菜种源，提升天津蔬菜种源科技创新能力和种子市场占有率</w:t>
      </w:r>
      <w:r>
        <w:rPr>
          <w:rFonts w:hint="eastAsia" w:eastAsia="仿宋"/>
          <w:bCs/>
          <w:sz w:val="32"/>
          <w:szCs w:val="32"/>
          <w:lang w:eastAsia="zh-CN"/>
        </w:rPr>
        <w:t>，</w:t>
      </w:r>
      <w:r>
        <w:rPr>
          <w:rFonts w:hint="eastAsia" w:eastAsia="仿宋"/>
          <w:bCs/>
          <w:color w:val="auto"/>
          <w:sz w:val="32"/>
          <w:szCs w:val="32"/>
          <w:lang w:eastAsia="zh-CN"/>
        </w:rPr>
        <w:t>培育有竞争力的蔬菜种业企业，</w:t>
      </w:r>
      <w:r>
        <w:rPr>
          <w:rFonts w:hint="eastAsia" w:eastAsia="仿宋"/>
          <w:bCs/>
          <w:sz w:val="32"/>
          <w:szCs w:val="32"/>
        </w:rPr>
        <w:t>保障全市“菜蓝子”稳定。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textAlignment w:val="auto"/>
        <w:rPr>
          <w:rFonts w:ascii="黑体" w:hAnsi="黑体" w:eastAsia="黑体" w:cs="黑体"/>
          <w:sz w:val="32"/>
          <w:szCs w:val="32"/>
        </w:rPr>
      </w:pPr>
      <w:r>
        <w:rPr>
          <w:rFonts w:hint="eastAsia" w:ascii="黑体" w:hAnsi="黑体" w:eastAsia="黑体" w:cs="黑体"/>
          <w:sz w:val="32"/>
          <w:szCs w:val="32"/>
        </w:rPr>
        <w:t>征集范围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rPr>
        <w:t>专题一、黄瓜分子育种技术研究与优质多抗新品种创制</w:t>
      </w:r>
      <w:r>
        <w:rPr>
          <w:rFonts w:hint="eastAsia" w:ascii="黑体" w:hAnsi="黑体" w:eastAsia="黑体" w:cs="黑体"/>
          <w:sz w:val="32"/>
          <w:szCs w:val="32"/>
          <w:lang w:val="en" w:eastAsia="zh-CN"/>
        </w:rPr>
        <w:t>（</w:t>
      </w:r>
      <w:r>
        <w:rPr>
          <w:rFonts w:hint="eastAsia" w:ascii="黑体" w:hAnsi="黑体" w:eastAsia="黑体" w:cs="黑体"/>
          <w:sz w:val="32"/>
          <w:szCs w:val="32"/>
          <w:lang w:val="en-US" w:eastAsia="zh-CN"/>
        </w:rPr>
        <w:t>B类</w:t>
      </w:r>
      <w:r>
        <w:rPr>
          <w:rFonts w:hint="eastAsia" w:ascii="黑体" w:hAnsi="黑体" w:eastAsia="黑体" w:cs="黑体"/>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eastAsia="仿宋"/>
          <w:bCs/>
          <w:color w:val="auto"/>
          <w:sz w:val="32"/>
          <w:szCs w:val="32"/>
        </w:rPr>
      </w:pPr>
      <w:r>
        <w:rPr>
          <w:rFonts w:hint="eastAsia" w:eastAsia="仿宋"/>
          <w:bCs/>
          <w:color w:val="auto"/>
          <w:sz w:val="32"/>
          <w:szCs w:val="32"/>
          <w:lang w:val="en"/>
        </w:rPr>
        <w:t>主要研究内容：</w:t>
      </w:r>
      <w:r>
        <w:rPr>
          <w:rFonts w:hint="eastAsia" w:eastAsia="仿宋"/>
          <w:bCs/>
          <w:color w:val="auto"/>
          <w:sz w:val="32"/>
          <w:szCs w:val="32"/>
        </w:rPr>
        <w:t>开展抗病、</w:t>
      </w:r>
      <w:r>
        <w:rPr>
          <w:rFonts w:hint="eastAsia" w:eastAsia="仿宋"/>
          <w:bCs/>
          <w:color w:val="auto"/>
          <w:sz w:val="32"/>
          <w:szCs w:val="32"/>
          <w:lang w:eastAsia="zh-CN"/>
        </w:rPr>
        <w:t>优质高产</w:t>
      </w:r>
      <w:r>
        <w:rPr>
          <w:rFonts w:hint="eastAsia" w:eastAsia="仿宋"/>
          <w:bCs/>
          <w:color w:val="auto"/>
          <w:sz w:val="32"/>
          <w:szCs w:val="32"/>
        </w:rPr>
        <w:t>、养分高效利用等黄瓜重要农艺形状基因基因挖掘与分子标记开发研究，建立高效黄瓜分子育种技术体系；创制聚合优异等位基因的黄瓜新种质，综合利用</w:t>
      </w:r>
      <w:r>
        <w:rPr>
          <w:rFonts w:hint="eastAsia" w:eastAsia="仿宋"/>
          <w:bCs/>
          <w:color w:val="auto"/>
          <w:sz w:val="32"/>
          <w:szCs w:val="32"/>
          <w:lang w:eastAsia="zh-CN"/>
        </w:rPr>
        <w:t>智能</w:t>
      </w:r>
      <w:r>
        <w:rPr>
          <w:rFonts w:hint="eastAsia" w:eastAsia="仿宋"/>
          <w:bCs/>
          <w:color w:val="auto"/>
          <w:sz w:val="32"/>
          <w:szCs w:val="32"/>
        </w:rPr>
        <w:t>育种技术、基因编辑技术、分子标记辅助育种技术，结合常规育种技术，创制具有抗3种以上主要病害</w:t>
      </w:r>
      <w:r>
        <w:rPr>
          <w:rFonts w:hint="eastAsia" w:eastAsia="仿宋"/>
          <w:b w:val="0"/>
          <w:bCs/>
          <w:color w:val="auto"/>
          <w:sz w:val="32"/>
          <w:szCs w:val="32"/>
        </w:rPr>
        <w:t>、</w:t>
      </w:r>
      <w:r>
        <w:rPr>
          <w:rFonts w:hint="eastAsia" w:eastAsia="仿宋"/>
          <w:b w:val="0"/>
          <w:bCs/>
          <w:color w:val="auto"/>
          <w:sz w:val="32"/>
          <w:szCs w:val="32"/>
          <w:lang w:eastAsia="zh-CN"/>
        </w:rPr>
        <w:t>抗逆性强</w:t>
      </w:r>
      <w:r>
        <w:rPr>
          <w:rFonts w:hint="eastAsia" w:eastAsia="仿宋"/>
          <w:b w:val="0"/>
          <w:bCs/>
          <w:color w:val="auto"/>
          <w:sz w:val="32"/>
          <w:szCs w:val="32"/>
        </w:rPr>
        <w:t>、</w:t>
      </w:r>
      <w:r>
        <w:rPr>
          <w:rFonts w:hint="eastAsia" w:eastAsia="仿宋"/>
          <w:bCs/>
          <w:color w:val="auto"/>
          <w:sz w:val="32"/>
          <w:szCs w:val="32"/>
        </w:rPr>
        <w:t>品质优良等优良性状的黄瓜种质资源</w:t>
      </w:r>
      <w:r>
        <w:rPr>
          <w:rFonts w:hint="eastAsia" w:eastAsia="仿宋"/>
          <w:bCs/>
          <w:color w:val="auto"/>
          <w:sz w:val="32"/>
          <w:szCs w:val="32"/>
          <w:lang w:val="en-US" w:eastAsia="zh-CN"/>
        </w:rPr>
        <w:t>4</w:t>
      </w:r>
      <w:r>
        <w:rPr>
          <w:rFonts w:hint="eastAsia" w:eastAsia="仿宋"/>
          <w:bCs/>
          <w:color w:val="auto"/>
          <w:sz w:val="32"/>
          <w:szCs w:val="32"/>
        </w:rPr>
        <w:t>0份以上</w:t>
      </w:r>
      <w:r>
        <w:rPr>
          <w:rFonts w:hint="eastAsia" w:eastAsia="仿宋"/>
          <w:bCs/>
          <w:color w:val="auto"/>
          <w:sz w:val="32"/>
          <w:szCs w:val="32"/>
          <w:lang w:eastAsia="zh-CN"/>
        </w:rPr>
        <w:t>；</w:t>
      </w:r>
      <w:r>
        <w:rPr>
          <w:rFonts w:hint="eastAsia" w:eastAsia="仿宋"/>
          <w:bCs/>
          <w:color w:val="auto"/>
          <w:sz w:val="32"/>
          <w:szCs w:val="32"/>
        </w:rPr>
        <w:t>培育聚合绿色优质基因的</w:t>
      </w:r>
      <w:r>
        <w:rPr>
          <w:rFonts w:hint="eastAsia" w:eastAsia="仿宋"/>
          <w:bCs/>
          <w:color w:val="auto"/>
          <w:sz w:val="32"/>
          <w:szCs w:val="32"/>
          <w:lang w:eastAsia="zh-CN"/>
        </w:rPr>
        <w:t>黄瓜</w:t>
      </w:r>
      <w:r>
        <w:rPr>
          <w:rFonts w:hint="eastAsia" w:eastAsia="仿宋"/>
          <w:bCs/>
          <w:color w:val="auto"/>
          <w:sz w:val="32"/>
          <w:szCs w:val="32"/>
        </w:rPr>
        <w:t>新品种</w:t>
      </w:r>
      <w:r>
        <w:rPr>
          <w:rFonts w:hint="eastAsia" w:eastAsia="仿宋"/>
          <w:bCs/>
          <w:color w:val="auto"/>
          <w:sz w:val="32"/>
          <w:szCs w:val="32"/>
          <w:lang w:val="en-US" w:eastAsia="zh-CN"/>
        </w:rPr>
        <w:t>5-7</w:t>
      </w:r>
      <w:r>
        <w:rPr>
          <w:rFonts w:hint="eastAsia" w:eastAsia="仿宋"/>
          <w:bCs/>
          <w:color w:val="auto"/>
          <w:sz w:val="32"/>
          <w:szCs w:val="32"/>
        </w:rPr>
        <w:t>个</w:t>
      </w:r>
      <w:r>
        <w:rPr>
          <w:rFonts w:hint="eastAsia" w:eastAsia="仿宋"/>
          <w:bCs/>
          <w:color w:val="auto"/>
          <w:sz w:val="32"/>
          <w:szCs w:val="32"/>
          <w:lang w:eastAsia="zh-CN"/>
        </w:rPr>
        <w:t>，申请品种权</w:t>
      </w:r>
      <w:r>
        <w:rPr>
          <w:rFonts w:hint="eastAsia" w:eastAsia="仿宋"/>
          <w:bCs/>
          <w:color w:val="auto"/>
          <w:sz w:val="32"/>
          <w:szCs w:val="32"/>
          <w:lang w:val="en-US" w:eastAsia="zh-CN"/>
        </w:rPr>
        <w:t>5项</w:t>
      </w:r>
      <w:r>
        <w:rPr>
          <w:rFonts w:hint="eastAsia" w:eastAsia="仿宋"/>
          <w:bCs/>
          <w:color w:val="auto"/>
          <w:sz w:val="32"/>
          <w:szCs w:val="32"/>
        </w:rPr>
        <w:t>。</w:t>
      </w:r>
      <w:r>
        <w:rPr>
          <w:rFonts w:hint="eastAsia" w:eastAsia="仿宋"/>
          <w:bCs/>
          <w:color w:val="auto"/>
          <w:sz w:val="32"/>
          <w:szCs w:val="32"/>
          <w:lang w:eastAsia="zh-CN"/>
        </w:rPr>
        <w:t>建立</w:t>
      </w:r>
      <w:r>
        <w:rPr>
          <w:rFonts w:hint="eastAsia" w:eastAsia="仿宋"/>
          <w:bCs/>
          <w:color w:val="auto"/>
          <w:sz w:val="32"/>
          <w:szCs w:val="32"/>
        </w:rPr>
        <w:t>配套优质高产栽培技术，新品种推广面积</w:t>
      </w:r>
      <w:r>
        <w:rPr>
          <w:rFonts w:hint="eastAsia" w:eastAsia="仿宋"/>
          <w:bCs/>
          <w:color w:val="auto"/>
          <w:sz w:val="32"/>
          <w:szCs w:val="32"/>
          <w:lang w:val="en-US" w:eastAsia="zh-CN"/>
        </w:rPr>
        <w:t>2</w:t>
      </w:r>
      <w:r>
        <w:rPr>
          <w:rFonts w:hint="eastAsia" w:eastAsia="仿宋"/>
          <w:bCs/>
          <w:color w:val="auto"/>
          <w:sz w:val="32"/>
          <w:szCs w:val="32"/>
        </w:rPr>
        <w:t>万亩以上。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rPr>
        <w:t>专题二、优质多抗广适花椰菜新品种培育</w:t>
      </w:r>
      <w:r>
        <w:rPr>
          <w:rFonts w:hint="eastAsia" w:ascii="黑体" w:hAnsi="黑体" w:eastAsia="黑体" w:cs="黑体"/>
          <w:sz w:val="32"/>
          <w:szCs w:val="32"/>
          <w:lang w:val="en" w:eastAsia="zh-CN"/>
        </w:rPr>
        <w:t>与推广（</w:t>
      </w:r>
      <w:r>
        <w:rPr>
          <w:rFonts w:hint="eastAsia" w:ascii="黑体" w:hAnsi="黑体" w:eastAsia="黑体" w:cs="黑体"/>
          <w:sz w:val="32"/>
          <w:szCs w:val="32"/>
          <w:lang w:val="en-US" w:eastAsia="zh-CN"/>
        </w:rPr>
        <w:t>B类</w:t>
      </w:r>
      <w:r>
        <w:rPr>
          <w:rFonts w:hint="eastAsia" w:ascii="黑体" w:hAnsi="黑体" w:eastAsia="黑体" w:cs="黑体"/>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 w:cs="仿宋_GB2312"/>
          <w:sz w:val="32"/>
          <w:szCs w:val="32"/>
          <w:lang w:val="en" w:eastAsia="zh-CN"/>
        </w:rPr>
      </w:pP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val="en"/>
        </w:rPr>
        <w:t>要研究内容：</w:t>
      </w:r>
      <w:r>
        <w:rPr>
          <w:rFonts w:hint="eastAsia" w:ascii="仿宋_GB2312" w:hAnsi="仿宋_GB2312" w:eastAsia="仿宋_GB2312" w:cs="仿宋_GB2312"/>
          <w:sz w:val="32"/>
          <w:szCs w:val="32"/>
          <w:lang w:val="en" w:eastAsia="zh-CN"/>
        </w:rPr>
        <w:t>支持</w:t>
      </w:r>
      <w:r>
        <w:rPr>
          <w:rFonts w:hint="eastAsia" w:eastAsia="仿宋"/>
          <w:bCs/>
          <w:sz w:val="32"/>
          <w:szCs w:val="32"/>
        </w:rPr>
        <w:t>研发花椰菜抗病、抗逆鉴定技术和基因编辑技术体系，挖掘重要农艺性状关键基因，构建国内领先、国际先进花椰菜高效分子育种技术体系。综合运用花椰菜单倍体培养技术、基因编辑技术、抗病抗逆鉴定技术、分子标记辅助育种等手段，结合常规育种方法，创制一批优质、抗病、广适的花椰菜优异育种材料</w:t>
      </w:r>
      <w:r>
        <w:rPr>
          <w:rFonts w:hint="eastAsia" w:eastAsia="仿宋"/>
          <w:bCs/>
          <w:color w:val="auto"/>
          <w:sz w:val="32"/>
          <w:szCs w:val="32"/>
          <w:lang w:val="en-US" w:eastAsia="zh-CN"/>
        </w:rPr>
        <w:t>40</w:t>
      </w:r>
      <w:r>
        <w:rPr>
          <w:rFonts w:hint="eastAsia" w:eastAsia="仿宋"/>
          <w:bCs/>
          <w:color w:val="auto"/>
          <w:sz w:val="32"/>
          <w:szCs w:val="32"/>
          <w:lang w:eastAsia="zh-CN"/>
        </w:rPr>
        <w:t>份</w:t>
      </w:r>
      <w:r>
        <w:rPr>
          <w:rFonts w:hint="eastAsia" w:eastAsia="仿宋"/>
          <w:bCs/>
          <w:sz w:val="32"/>
          <w:szCs w:val="32"/>
          <w:lang w:eastAsia="zh-CN"/>
        </w:rPr>
        <w:t>；</w:t>
      </w:r>
      <w:r>
        <w:rPr>
          <w:rFonts w:hint="eastAsia" w:eastAsia="仿宋"/>
          <w:bCs/>
          <w:sz w:val="32"/>
          <w:szCs w:val="32"/>
        </w:rPr>
        <w:t>培育越冬松散型花椰菜新品种2个</w:t>
      </w:r>
      <w:r>
        <w:rPr>
          <w:rFonts w:hint="eastAsia" w:eastAsia="仿宋"/>
          <w:bCs/>
          <w:sz w:val="32"/>
          <w:szCs w:val="32"/>
          <w:lang w:eastAsia="zh-CN"/>
        </w:rPr>
        <w:t>；</w:t>
      </w:r>
      <w:r>
        <w:rPr>
          <w:rFonts w:hint="eastAsia" w:eastAsia="仿宋"/>
          <w:bCs/>
          <w:sz w:val="32"/>
          <w:szCs w:val="32"/>
        </w:rPr>
        <w:t>培育优质多抗广适出口专用型花椰菜新品种</w:t>
      </w:r>
      <w:r>
        <w:rPr>
          <w:rFonts w:hint="eastAsia" w:eastAsia="仿宋"/>
          <w:bCs/>
          <w:sz w:val="32"/>
          <w:szCs w:val="32"/>
          <w:lang w:val="en-US" w:eastAsia="zh-CN"/>
        </w:rPr>
        <w:t>1个</w:t>
      </w:r>
      <w:r>
        <w:rPr>
          <w:rFonts w:hint="eastAsia" w:eastAsia="仿宋"/>
          <w:bCs/>
          <w:sz w:val="32"/>
          <w:szCs w:val="32"/>
          <w:lang w:eastAsia="zh-CN"/>
        </w:rPr>
        <w:t>；</w:t>
      </w:r>
      <w:r>
        <w:rPr>
          <w:rFonts w:hint="eastAsia" w:eastAsia="仿宋"/>
          <w:bCs/>
          <w:sz w:val="32"/>
          <w:szCs w:val="32"/>
        </w:rPr>
        <w:t>申请植物新品种权3</w:t>
      </w:r>
      <w:r>
        <w:rPr>
          <w:rFonts w:hint="eastAsia" w:eastAsia="仿宋"/>
          <w:bCs/>
          <w:color w:val="auto"/>
          <w:sz w:val="32"/>
          <w:szCs w:val="32"/>
          <w:lang w:eastAsia="zh-CN"/>
        </w:rPr>
        <w:t>项</w:t>
      </w:r>
      <w:r>
        <w:rPr>
          <w:rFonts w:hint="eastAsia" w:eastAsia="仿宋"/>
          <w:bCs/>
          <w:sz w:val="32"/>
          <w:szCs w:val="32"/>
        </w:rPr>
        <w:t>。</w:t>
      </w:r>
      <w:r>
        <w:rPr>
          <w:rFonts w:hint="eastAsia" w:eastAsia="仿宋"/>
          <w:bCs/>
          <w:sz w:val="32"/>
          <w:szCs w:val="32"/>
          <w:lang w:eastAsia="zh-CN"/>
        </w:rPr>
        <w:t>新品种</w:t>
      </w:r>
      <w:r>
        <w:rPr>
          <w:rFonts w:hint="eastAsia" w:eastAsia="仿宋"/>
          <w:bCs/>
          <w:sz w:val="32"/>
          <w:szCs w:val="32"/>
        </w:rPr>
        <w:t>推广面积</w:t>
      </w:r>
      <w:r>
        <w:rPr>
          <w:rFonts w:hint="eastAsia" w:eastAsia="仿宋"/>
          <w:bCs/>
          <w:color w:val="auto"/>
          <w:sz w:val="32"/>
          <w:szCs w:val="32"/>
          <w:lang w:val="en-US" w:eastAsia="zh-CN"/>
        </w:rPr>
        <w:t>2</w:t>
      </w:r>
      <w:r>
        <w:rPr>
          <w:rFonts w:hint="eastAsia" w:eastAsia="仿宋"/>
          <w:bCs/>
          <w:color w:val="auto"/>
          <w:sz w:val="32"/>
          <w:szCs w:val="32"/>
        </w:rPr>
        <w:t>万亩</w:t>
      </w:r>
      <w:r>
        <w:rPr>
          <w:rFonts w:hint="eastAsia" w:eastAsia="仿宋"/>
          <w:bCs/>
          <w:sz w:val="32"/>
          <w:szCs w:val="32"/>
          <w:lang w:eastAsia="zh-CN"/>
        </w:rPr>
        <w:t>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rPr>
        <w:t>专题三、</w:t>
      </w:r>
      <w:r>
        <w:rPr>
          <w:rFonts w:hint="eastAsia" w:ascii="黑体" w:hAnsi="黑体" w:eastAsia="黑体" w:cs="黑体"/>
          <w:sz w:val="32"/>
          <w:szCs w:val="32"/>
          <w:lang w:val="en" w:eastAsia="zh-CN"/>
        </w:rPr>
        <w:t>优质</w:t>
      </w:r>
      <w:r>
        <w:rPr>
          <w:rFonts w:hint="eastAsia" w:ascii="黑体" w:hAnsi="黑体" w:eastAsia="黑体" w:cs="黑体"/>
          <w:sz w:val="32"/>
          <w:szCs w:val="32"/>
          <w:lang w:val="en"/>
        </w:rPr>
        <w:t>速生白菜新品种选育</w:t>
      </w:r>
      <w:r>
        <w:rPr>
          <w:rFonts w:hint="eastAsia" w:ascii="黑体" w:hAnsi="黑体" w:eastAsia="黑体" w:cs="黑体"/>
          <w:sz w:val="32"/>
          <w:szCs w:val="32"/>
          <w:lang w:val="en" w:eastAsia="zh-CN"/>
        </w:rPr>
        <w:t>与推广（</w:t>
      </w:r>
      <w:r>
        <w:rPr>
          <w:rFonts w:hint="eastAsia" w:ascii="黑体" w:hAnsi="黑体" w:eastAsia="黑体" w:cs="黑体"/>
          <w:sz w:val="32"/>
          <w:szCs w:val="32"/>
          <w:lang w:val="en-US" w:eastAsia="zh-CN"/>
        </w:rPr>
        <w:t>A类</w:t>
      </w:r>
      <w:r>
        <w:rPr>
          <w:rFonts w:hint="eastAsia" w:ascii="黑体" w:hAnsi="黑体" w:eastAsia="黑体" w:cs="黑体"/>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eastAsia="仿宋"/>
          <w:bCs/>
          <w:color w:val="auto"/>
          <w:sz w:val="32"/>
          <w:szCs w:val="32"/>
          <w:lang w:val="en"/>
        </w:rPr>
      </w:pPr>
      <w:r>
        <w:rPr>
          <w:rFonts w:hint="eastAsia" w:eastAsia="仿宋"/>
          <w:bCs/>
          <w:sz w:val="32"/>
          <w:szCs w:val="32"/>
          <w:lang w:val="en"/>
        </w:rPr>
        <w:t>主要研究内容：</w:t>
      </w:r>
      <w:r>
        <w:rPr>
          <w:rFonts w:hint="eastAsia" w:eastAsia="仿宋"/>
          <w:bCs/>
          <w:sz w:val="32"/>
          <w:szCs w:val="32"/>
          <w:lang w:val="en" w:eastAsia="zh-CN"/>
        </w:rPr>
        <w:t>支持</w:t>
      </w:r>
      <w:r>
        <w:rPr>
          <w:rFonts w:hint="eastAsia" w:eastAsia="仿宋"/>
          <w:bCs/>
          <w:sz w:val="32"/>
          <w:szCs w:val="32"/>
        </w:rPr>
        <w:t>综合利用单倍体育种技术、雄性不育技术、分子标记辅助育种技术、抗病抗逆鉴定技术，结合常规育种技术，创制优异育种材料</w:t>
      </w:r>
      <w:r>
        <w:rPr>
          <w:rFonts w:hint="eastAsia" w:eastAsia="仿宋"/>
          <w:bCs/>
          <w:sz w:val="32"/>
          <w:szCs w:val="32"/>
          <w:lang w:val="en-US" w:eastAsia="zh-CN"/>
        </w:rPr>
        <w:t>20份</w:t>
      </w:r>
      <w:r>
        <w:rPr>
          <w:rFonts w:hint="eastAsia" w:eastAsia="仿宋"/>
          <w:bCs/>
          <w:sz w:val="32"/>
          <w:szCs w:val="32"/>
        </w:rPr>
        <w:t>，丰富速生白菜种质资源；坚持育种目标的市场导向，利用聚合不同优良性状的速生白菜新种质，选育聚合优良性状的速生白菜新品种</w:t>
      </w:r>
      <w:r>
        <w:rPr>
          <w:rFonts w:hint="eastAsia" w:eastAsia="仿宋"/>
          <w:bCs/>
          <w:sz w:val="32"/>
          <w:szCs w:val="32"/>
          <w:lang w:val="en-US" w:eastAsia="zh-CN"/>
        </w:rPr>
        <w:t>2</w:t>
      </w:r>
      <w:r>
        <w:rPr>
          <w:rFonts w:hint="eastAsia" w:eastAsia="仿宋"/>
          <w:bCs/>
          <w:sz w:val="32"/>
          <w:szCs w:val="32"/>
        </w:rPr>
        <w:t>个，</w:t>
      </w:r>
      <w:r>
        <w:rPr>
          <w:rFonts w:hint="eastAsia" w:eastAsia="仿宋"/>
          <w:bCs/>
          <w:sz w:val="32"/>
          <w:szCs w:val="32"/>
          <w:lang w:eastAsia="zh-CN"/>
        </w:rPr>
        <w:t>申请</w:t>
      </w:r>
      <w:r>
        <w:rPr>
          <w:rFonts w:hint="eastAsia" w:ascii="Times New Roman" w:hAnsi="Times New Roman" w:eastAsia="仿宋" w:cs="Times New Roman"/>
          <w:bCs/>
          <w:sz w:val="32"/>
          <w:szCs w:val="32"/>
        </w:rPr>
        <w:t>新品种权2项，</w:t>
      </w:r>
      <w:r>
        <w:rPr>
          <w:rFonts w:hint="eastAsia" w:eastAsia="仿宋"/>
          <w:bCs/>
          <w:sz w:val="32"/>
          <w:szCs w:val="32"/>
        </w:rPr>
        <w:t>并在主要栽培区域开展品种示范和推广面</w:t>
      </w:r>
      <w:r>
        <w:rPr>
          <w:rFonts w:hint="eastAsia" w:eastAsia="仿宋"/>
          <w:bCs/>
          <w:color w:val="auto"/>
          <w:sz w:val="32"/>
          <w:szCs w:val="32"/>
        </w:rPr>
        <w:t>积</w:t>
      </w:r>
      <w:r>
        <w:rPr>
          <w:rFonts w:hint="eastAsia" w:eastAsia="仿宋"/>
          <w:bCs/>
          <w:color w:val="auto"/>
          <w:sz w:val="32"/>
          <w:szCs w:val="32"/>
          <w:lang w:val="en-US" w:eastAsia="zh-CN"/>
        </w:rPr>
        <w:t>2万</w:t>
      </w:r>
      <w:r>
        <w:rPr>
          <w:rFonts w:hint="eastAsia" w:eastAsia="仿宋"/>
          <w:bCs/>
          <w:color w:val="auto"/>
          <w:sz w:val="32"/>
          <w:szCs w:val="32"/>
        </w:rPr>
        <w:t>亩</w:t>
      </w:r>
      <w:r>
        <w:rPr>
          <w:rFonts w:hint="eastAsia" w:eastAsia="仿宋"/>
          <w:bCs/>
          <w:color w:val="auto"/>
          <w:sz w:val="32"/>
          <w:szCs w:val="32"/>
          <w:lang w:eastAsia="zh-CN"/>
        </w:rPr>
        <w:t>以上</w:t>
      </w:r>
      <w:r>
        <w:rPr>
          <w:rFonts w:hint="eastAsia" w:eastAsia="仿宋"/>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
        </w:rPr>
      </w:pPr>
      <w:r>
        <w:rPr>
          <w:rFonts w:hint="eastAsia" w:ascii="黑体" w:hAnsi="黑体" w:eastAsia="黑体" w:cs="黑体"/>
          <w:sz w:val="32"/>
          <w:szCs w:val="32"/>
          <w:lang w:val="en"/>
        </w:rPr>
        <w:t>专题</w:t>
      </w:r>
      <w:r>
        <w:rPr>
          <w:rFonts w:hint="eastAsia" w:ascii="黑体" w:hAnsi="黑体" w:eastAsia="黑体" w:cs="黑体"/>
          <w:sz w:val="32"/>
          <w:szCs w:val="32"/>
          <w:lang w:val="en" w:eastAsia="zh-CN"/>
        </w:rPr>
        <w:t>四</w:t>
      </w:r>
      <w:r>
        <w:rPr>
          <w:rFonts w:hint="eastAsia" w:ascii="黑体" w:hAnsi="黑体" w:eastAsia="黑体" w:cs="黑体"/>
          <w:sz w:val="32"/>
          <w:szCs w:val="32"/>
          <w:lang w:val="en"/>
        </w:rPr>
        <w:t>、优质耐糠心卫青萝卜种质创新及新品种选育</w:t>
      </w:r>
      <w:r>
        <w:rPr>
          <w:rFonts w:hint="eastAsia" w:ascii="黑体" w:hAnsi="黑体" w:eastAsia="黑体" w:cs="黑体"/>
          <w:sz w:val="32"/>
          <w:szCs w:val="32"/>
          <w:lang w:val="en" w:eastAsia="zh-CN"/>
        </w:rPr>
        <w:t>（</w:t>
      </w:r>
      <w:r>
        <w:rPr>
          <w:rFonts w:hint="eastAsia" w:ascii="黑体" w:hAnsi="黑体" w:eastAsia="黑体" w:cs="黑体"/>
          <w:sz w:val="32"/>
          <w:szCs w:val="32"/>
          <w:lang w:val="en-US" w:eastAsia="zh-CN"/>
        </w:rPr>
        <w:t>A类</w:t>
      </w:r>
      <w:r>
        <w:rPr>
          <w:rFonts w:hint="eastAsia" w:ascii="黑体" w:hAnsi="黑体" w:eastAsia="黑体" w:cs="黑体"/>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sz w:val="32"/>
          <w:szCs w:val="32"/>
          <w:lang w:val="en"/>
        </w:rPr>
        <w:t>主要研究内容：</w:t>
      </w:r>
      <w:r>
        <w:rPr>
          <w:rFonts w:hint="eastAsia" w:ascii="仿宋_GB2312" w:hAnsi="仿宋_GB2312" w:eastAsia="仿宋_GB2312" w:cs="仿宋_GB2312"/>
          <w:sz w:val="32"/>
          <w:szCs w:val="32"/>
          <w:lang w:val="en" w:eastAsia="zh-CN"/>
        </w:rPr>
        <w:t>支持</w:t>
      </w:r>
      <w:r>
        <w:rPr>
          <w:rFonts w:hint="eastAsia" w:eastAsia="仿宋"/>
          <w:bCs/>
          <w:sz w:val="32"/>
          <w:szCs w:val="32"/>
        </w:rPr>
        <w:t>综合利用雄性不育技术、分子标记辅助育种技术、抗病抗逆鉴定技术，结合常规育种技术，创制优异育种材料</w:t>
      </w:r>
      <w:r>
        <w:rPr>
          <w:rFonts w:hint="eastAsia" w:eastAsia="仿宋"/>
          <w:bCs/>
          <w:sz w:val="32"/>
          <w:szCs w:val="32"/>
          <w:lang w:val="en-US" w:eastAsia="zh-CN"/>
        </w:rPr>
        <w:t>15份</w:t>
      </w:r>
      <w:r>
        <w:rPr>
          <w:rFonts w:hint="eastAsia" w:eastAsia="仿宋"/>
          <w:bCs/>
          <w:sz w:val="32"/>
          <w:szCs w:val="32"/>
        </w:rPr>
        <w:t>，丰富卫青萝卜种质资源；坚持育种目标的市场导向，利用聚合不同优良性状的卫青萝卜新种质，突破糠心性状选择、耐抽薹性状选择、雄性不育转育等技术瓶颈，解决卫青萝卜反季节生产的问题，选育聚合优良性状的卫青萝卜新品种</w:t>
      </w:r>
      <w:r>
        <w:rPr>
          <w:rFonts w:hint="eastAsia" w:eastAsia="仿宋"/>
          <w:bCs/>
          <w:sz w:val="32"/>
          <w:szCs w:val="32"/>
          <w:lang w:val="en-US" w:eastAsia="zh-CN"/>
        </w:rPr>
        <w:t>2</w:t>
      </w:r>
      <w:r>
        <w:rPr>
          <w:rFonts w:hint="eastAsia" w:eastAsia="仿宋"/>
          <w:bCs/>
          <w:sz w:val="32"/>
          <w:szCs w:val="32"/>
        </w:rPr>
        <w:t>个，</w:t>
      </w:r>
      <w:r>
        <w:rPr>
          <w:rFonts w:hint="eastAsia" w:eastAsia="仿宋"/>
          <w:bCs/>
          <w:sz w:val="32"/>
          <w:szCs w:val="32"/>
          <w:lang w:eastAsia="zh-CN"/>
        </w:rPr>
        <w:t>申请</w:t>
      </w:r>
      <w:r>
        <w:rPr>
          <w:rFonts w:hint="eastAsia" w:ascii="Times New Roman" w:hAnsi="Times New Roman" w:eastAsia="仿宋" w:cs="Times New Roman"/>
          <w:bCs/>
          <w:sz w:val="32"/>
          <w:szCs w:val="32"/>
        </w:rPr>
        <w:t>新品种权2项，</w:t>
      </w:r>
      <w:r>
        <w:rPr>
          <w:rFonts w:hint="eastAsia" w:eastAsia="仿宋"/>
          <w:bCs/>
          <w:sz w:val="32"/>
          <w:szCs w:val="32"/>
        </w:rPr>
        <w:t>并在主要栽培区域开展品种示范和推广</w:t>
      </w:r>
      <w:r>
        <w:rPr>
          <w:rFonts w:hint="eastAsia" w:eastAsia="仿宋"/>
          <w:bCs/>
          <w:color w:val="auto"/>
          <w:sz w:val="32"/>
          <w:szCs w:val="32"/>
          <w:lang w:val="en-US" w:eastAsia="zh-CN"/>
        </w:rPr>
        <w:t>2万</w:t>
      </w:r>
      <w:r>
        <w:rPr>
          <w:rFonts w:hint="eastAsia" w:eastAsia="仿宋"/>
          <w:bCs/>
          <w:color w:val="auto"/>
          <w:sz w:val="32"/>
          <w:szCs w:val="32"/>
        </w:rPr>
        <w:t>亩</w:t>
      </w:r>
      <w:r>
        <w:rPr>
          <w:rFonts w:hint="eastAsia" w:eastAsia="仿宋"/>
          <w:bCs/>
          <w:color w:val="auto"/>
          <w:sz w:val="32"/>
          <w:szCs w:val="32"/>
          <w:lang w:eastAsia="zh-CN"/>
        </w:rPr>
        <w:t>以上</w:t>
      </w:r>
      <w:r>
        <w:rPr>
          <w:rFonts w:hint="eastAsia" w:eastAsia="仿宋"/>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
        </w:rPr>
      </w:pPr>
      <w:r>
        <w:rPr>
          <w:rFonts w:hint="eastAsia" w:ascii="黑体" w:hAnsi="黑体" w:eastAsia="黑体" w:cs="黑体"/>
          <w:sz w:val="32"/>
          <w:szCs w:val="32"/>
          <w:lang w:val="en"/>
        </w:rPr>
        <w:t>专题</w:t>
      </w:r>
      <w:r>
        <w:rPr>
          <w:rFonts w:hint="eastAsia" w:ascii="黑体" w:hAnsi="黑体" w:eastAsia="黑体" w:cs="黑体"/>
          <w:sz w:val="32"/>
          <w:szCs w:val="32"/>
          <w:lang w:val="en" w:eastAsia="zh-CN"/>
        </w:rPr>
        <w:t>五</w:t>
      </w:r>
      <w:r>
        <w:rPr>
          <w:rFonts w:hint="eastAsia" w:ascii="黑体" w:hAnsi="黑体" w:eastAsia="黑体" w:cs="黑体"/>
          <w:sz w:val="32"/>
          <w:szCs w:val="32"/>
          <w:lang w:val="en"/>
        </w:rPr>
        <w:t>、天津地区口感型优质番茄品种选育与配套技术模式应用示范</w:t>
      </w:r>
      <w:r>
        <w:rPr>
          <w:rFonts w:hint="eastAsia" w:ascii="黑体" w:hAnsi="黑体" w:eastAsia="黑体" w:cs="黑体"/>
          <w:sz w:val="32"/>
          <w:szCs w:val="32"/>
          <w:lang w:val="en" w:eastAsia="zh-CN"/>
        </w:rPr>
        <w:t>（</w:t>
      </w:r>
      <w:r>
        <w:rPr>
          <w:rFonts w:hint="eastAsia" w:ascii="黑体" w:hAnsi="黑体" w:eastAsia="黑体" w:cs="黑体"/>
          <w:sz w:val="32"/>
          <w:szCs w:val="32"/>
          <w:lang w:val="en-US" w:eastAsia="zh-CN"/>
        </w:rPr>
        <w:t>A类</w:t>
      </w:r>
      <w:r>
        <w:rPr>
          <w:rFonts w:hint="eastAsia" w:ascii="黑体" w:hAnsi="黑体" w:eastAsia="黑体" w:cs="黑体"/>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eastAsia="仿宋"/>
          <w:bCs/>
          <w:sz w:val="32"/>
          <w:szCs w:val="32"/>
          <w:lang w:val="en"/>
        </w:rPr>
      </w:pPr>
      <w:r>
        <w:rPr>
          <w:rFonts w:hint="eastAsia" w:eastAsia="仿宋"/>
          <w:bCs/>
          <w:sz w:val="32"/>
          <w:szCs w:val="32"/>
          <w:lang w:val="en"/>
        </w:rPr>
        <w:t>主要研究内容：</w:t>
      </w:r>
      <w:r>
        <w:rPr>
          <w:rFonts w:hint="eastAsia" w:eastAsia="仿宋"/>
          <w:bCs/>
          <w:sz w:val="32"/>
          <w:szCs w:val="32"/>
          <w:lang w:val="en" w:eastAsia="zh-CN"/>
        </w:rPr>
        <w:t>支持采用先进</w:t>
      </w:r>
      <w:r>
        <w:rPr>
          <w:rFonts w:hint="eastAsia" w:eastAsia="仿宋"/>
          <w:bCs/>
          <w:sz w:val="32"/>
          <w:szCs w:val="32"/>
          <w:lang w:val="en"/>
        </w:rPr>
        <w:t>育种技术，</w:t>
      </w:r>
      <w:r>
        <w:rPr>
          <w:rFonts w:hint="eastAsia" w:eastAsia="仿宋"/>
          <w:bCs/>
          <w:sz w:val="32"/>
          <w:szCs w:val="32"/>
          <w:lang w:val="en" w:eastAsia="zh-CN"/>
        </w:rPr>
        <w:t>通过联合攻关，选育</w:t>
      </w:r>
      <w:r>
        <w:rPr>
          <w:rFonts w:hint="eastAsia" w:eastAsia="仿宋"/>
          <w:bCs/>
          <w:color w:val="auto"/>
          <w:sz w:val="32"/>
          <w:szCs w:val="32"/>
          <w:lang w:val="en"/>
        </w:rPr>
        <w:t>口感类优质番茄新品种</w:t>
      </w:r>
      <w:r>
        <w:rPr>
          <w:rFonts w:hint="eastAsia" w:eastAsia="仿宋"/>
          <w:bCs/>
          <w:sz w:val="32"/>
          <w:szCs w:val="32"/>
          <w:lang w:val="en" w:eastAsia="zh-CN"/>
        </w:rPr>
        <w:t>（</w:t>
      </w:r>
      <w:r>
        <w:rPr>
          <w:rFonts w:hint="eastAsia" w:eastAsia="仿宋"/>
          <w:bCs/>
          <w:sz w:val="32"/>
          <w:szCs w:val="32"/>
          <w:lang w:val="en"/>
        </w:rPr>
        <w:t>大果口感番茄品种</w:t>
      </w:r>
      <w:r>
        <w:rPr>
          <w:rFonts w:hint="eastAsia" w:eastAsia="仿宋"/>
          <w:bCs/>
          <w:sz w:val="32"/>
          <w:szCs w:val="32"/>
          <w:lang w:val="en" w:eastAsia="zh-CN"/>
        </w:rPr>
        <w:t>和</w:t>
      </w:r>
      <w:r>
        <w:rPr>
          <w:rFonts w:hint="eastAsia" w:eastAsia="仿宋"/>
          <w:bCs/>
          <w:sz w:val="32"/>
          <w:szCs w:val="32"/>
          <w:lang w:val="en"/>
        </w:rPr>
        <w:t>中果水果番茄品种</w:t>
      </w:r>
      <w:r>
        <w:rPr>
          <w:rFonts w:hint="eastAsia" w:eastAsia="仿宋"/>
          <w:bCs/>
          <w:sz w:val="32"/>
          <w:szCs w:val="32"/>
          <w:lang w:val="en" w:eastAsia="zh-CN"/>
        </w:rPr>
        <w:t>）</w:t>
      </w:r>
      <w:r>
        <w:rPr>
          <w:rFonts w:hint="eastAsia" w:eastAsia="仿宋"/>
          <w:bCs/>
          <w:sz w:val="32"/>
          <w:szCs w:val="32"/>
          <w:lang w:val="en-US" w:eastAsia="zh-CN"/>
        </w:rPr>
        <w:t>2个；</w:t>
      </w:r>
      <w:r>
        <w:rPr>
          <w:rFonts w:hint="eastAsia" w:eastAsia="仿宋"/>
          <w:bCs/>
          <w:sz w:val="32"/>
          <w:szCs w:val="32"/>
          <w:lang w:val="en"/>
        </w:rPr>
        <w:t>创制新型种</w:t>
      </w:r>
      <w:r>
        <w:rPr>
          <w:rFonts w:hint="eastAsia" w:eastAsia="仿宋"/>
          <w:bCs/>
          <w:sz w:val="32"/>
          <w:szCs w:val="32"/>
          <w:lang w:val="en" w:eastAsia="zh-CN"/>
        </w:rPr>
        <w:t>质</w:t>
      </w:r>
      <w:r>
        <w:rPr>
          <w:rFonts w:hint="eastAsia" w:eastAsia="仿宋"/>
          <w:bCs/>
          <w:sz w:val="32"/>
          <w:szCs w:val="32"/>
          <w:lang w:val="en"/>
        </w:rPr>
        <w:t>资源10份</w:t>
      </w:r>
      <w:r>
        <w:rPr>
          <w:rFonts w:hint="eastAsia" w:eastAsia="仿宋"/>
          <w:bCs/>
          <w:sz w:val="32"/>
          <w:szCs w:val="32"/>
          <w:lang w:val="en" w:eastAsia="zh-CN"/>
        </w:rPr>
        <w:t>；开展</w:t>
      </w:r>
      <w:r>
        <w:rPr>
          <w:rFonts w:hint="eastAsia" w:eastAsia="仿宋"/>
          <w:bCs/>
          <w:sz w:val="32"/>
          <w:szCs w:val="32"/>
          <w:lang w:val="en"/>
        </w:rPr>
        <w:t>盐碱地口感番茄栽培技术研究</w:t>
      </w:r>
      <w:r>
        <w:rPr>
          <w:rFonts w:hint="eastAsia" w:eastAsia="仿宋"/>
          <w:bCs/>
          <w:sz w:val="32"/>
          <w:szCs w:val="32"/>
          <w:lang w:val="en" w:eastAsia="zh-CN"/>
        </w:rPr>
        <w:t>，</w:t>
      </w:r>
      <w:r>
        <w:rPr>
          <w:rFonts w:hint="eastAsia" w:eastAsia="仿宋"/>
          <w:bCs/>
          <w:sz w:val="32"/>
          <w:szCs w:val="32"/>
          <w:lang w:val="en"/>
        </w:rPr>
        <w:t>制定技术规范，申请地方标准1个</w:t>
      </w:r>
      <w:r>
        <w:rPr>
          <w:rFonts w:hint="eastAsia" w:eastAsia="仿宋"/>
          <w:bCs/>
          <w:sz w:val="32"/>
          <w:szCs w:val="32"/>
          <w:lang w:val="en" w:eastAsia="zh-CN"/>
        </w:rPr>
        <w:t>，</w:t>
      </w:r>
      <w:r>
        <w:rPr>
          <w:rFonts w:hint="eastAsia" w:eastAsia="仿宋"/>
          <w:bCs/>
          <w:sz w:val="32"/>
          <w:szCs w:val="32"/>
          <w:lang w:val="en"/>
        </w:rPr>
        <w:t>打造津沽碱地番茄区域公共品牌1个</w:t>
      </w:r>
      <w:r>
        <w:rPr>
          <w:rFonts w:hint="eastAsia" w:eastAsia="仿宋"/>
          <w:bCs/>
          <w:sz w:val="32"/>
          <w:szCs w:val="32"/>
          <w:lang w:val="en" w:eastAsia="zh-CN"/>
        </w:rPr>
        <w:t>；</w:t>
      </w:r>
      <w:r>
        <w:rPr>
          <w:rFonts w:hint="eastAsia" w:eastAsia="仿宋"/>
          <w:bCs/>
          <w:sz w:val="32"/>
          <w:szCs w:val="32"/>
          <w:lang w:val="en"/>
        </w:rPr>
        <w:t>建立口感类优质番茄示范基地3个，示范面</w:t>
      </w:r>
      <w:r>
        <w:rPr>
          <w:rFonts w:hint="eastAsia" w:eastAsia="仿宋"/>
          <w:bCs/>
          <w:color w:val="auto"/>
          <w:sz w:val="32"/>
          <w:szCs w:val="32"/>
          <w:lang w:val="en"/>
        </w:rPr>
        <w:t>积</w:t>
      </w:r>
      <w:r>
        <w:rPr>
          <w:rFonts w:hint="eastAsia" w:eastAsia="仿宋"/>
          <w:bCs/>
          <w:color w:val="auto"/>
          <w:sz w:val="32"/>
          <w:szCs w:val="32"/>
          <w:lang w:val="en-US" w:eastAsia="zh-CN"/>
        </w:rPr>
        <w:t>2万</w:t>
      </w:r>
      <w:r>
        <w:rPr>
          <w:rFonts w:hint="eastAsia" w:eastAsia="仿宋"/>
          <w:bCs/>
          <w:color w:val="auto"/>
          <w:sz w:val="32"/>
          <w:szCs w:val="32"/>
          <w:lang w:val="en"/>
        </w:rPr>
        <w:t>亩</w:t>
      </w:r>
      <w:r>
        <w:rPr>
          <w:rFonts w:hint="eastAsia" w:eastAsia="仿宋"/>
          <w:bCs/>
          <w:color w:val="auto"/>
          <w:sz w:val="32"/>
          <w:szCs w:val="32"/>
          <w:lang w:val="en" w:eastAsia="zh-CN"/>
        </w:rPr>
        <w:t>以上，</w:t>
      </w:r>
      <w:r>
        <w:rPr>
          <w:rFonts w:hint="eastAsia" w:eastAsia="仿宋"/>
          <w:bCs/>
          <w:color w:val="auto"/>
          <w:sz w:val="32"/>
          <w:szCs w:val="32"/>
          <w:lang w:val="en"/>
        </w:rPr>
        <w:t>推动</w:t>
      </w:r>
      <w:r>
        <w:rPr>
          <w:rFonts w:hint="eastAsia" w:eastAsia="仿宋"/>
          <w:bCs/>
          <w:sz w:val="32"/>
          <w:szCs w:val="32"/>
          <w:lang w:val="en"/>
        </w:rPr>
        <w:t>形成</w:t>
      </w:r>
      <w:r>
        <w:rPr>
          <w:rFonts w:hint="eastAsia" w:eastAsia="仿宋"/>
          <w:bCs/>
          <w:sz w:val="32"/>
          <w:szCs w:val="32"/>
          <w:lang w:val="en" w:eastAsia="zh-CN"/>
        </w:rPr>
        <w:t>我</w:t>
      </w:r>
      <w:r>
        <w:rPr>
          <w:rFonts w:hint="eastAsia" w:eastAsia="仿宋"/>
          <w:bCs/>
          <w:sz w:val="32"/>
          <w:szCs w:val="32"/>
          <w:lang w:val="en"/>
        </w:rPr>
        <w:t>市特色的口感优质番茄产业，提升蔬菜产业竞争力。</w:t>
      </w:r>
    </w:p>
    <w:p>
      <w:pPr>
        <w:pStyle w:val="2"/>
        <w:keepNext w:val="0"/>
        <w:keepLines w:val="0"/>
        <w:pageBreakBefore w:val="0"/>
        <w:widowControl w:val="0"/>
        <w:kinsoku/>
        <w:wordWrap/>
        <w:overflowPunct/>
        <w:topLinePunct w:val="0"/>
        <w:autoSpaceDE/>
        <w:autoSpaceDN/>
        <w:bidi w:val="0"/>
        <w:spacing w:line="500" w:lineRule="exact"/>
        <w:textAlignment w:val="auto"/>
        <w:rPr>
          <w:rFonts w:hint="eastAsia"/>
          <w:color w:val="auto"/>
          <w:lang w:val="en"/>
        </w:rPr>
      </w:pPr>
      <w:r>
        <w:rPr>
          <w:rFonts w:hint="eastAsia" w:ascii="黑体" w:hAnsi="黑体" w:eastAsia="黑体" w:cs="黑体"/>
          <w:color w:val="auto"/>
          <w:sz w:val="32"/>
          <w:szCs w:val="32"/>
          <w:lang w:val="en"/>
        </w:rPr>
        <w:t>专题</w:t>
      </w:r>
      <w:r>
        <w:rPr>
          <w:rFonts w:hint="eastAsia" w:ascii="黑体" w:hAnsi="黑体" w:eastAsia="黑体" w:cs="黑体"/>
          <w:color w:val="auto"/>
          <w:sz w:val="32"/>
          <w:szCs w:val="32"/>
          <w:lang w:val="en" w:eastAsia="zh-CN"/>
        </w:rPr>
        <w:t>六</w:t>
      </w:r>
      <w:r>
        <w:rPr>
          <w:rFonts w:hint="eastAsia" w:ascii="黑体" w:hAnsi="黑体" w:eastAsia="黑体" w:cs="黑体"/>
          <w:color w:val="auto"/>
          <w:sz w:val="32"/>
          <w:szCs w:val="32"/>
          <w:lang w:val="en"/>
        </w:rPr>
        <w:t>、</w:t>
      </w:r>
      <w:r>
        <w:rPr>
          <w:rFonts w:hint="eastAsia" w:ascii="黑体" w:hAnsi="黑体" w:eastAsia="黑体" w:cs="黑体"/>
          <w:color w:val="auto"/>
          <w:sz w:val="32"/>
          <w:szCs w:val="32"/>
          <w:lang w:val="en" w:eastAsia="zh-CN"/>
        </w:rPr>
        <w:t>甜瓜高效分子育种技术研究与优质新品种选育（</w:t>
      </w:r>
      <w:r>
        <w:rPr>
          <w:rFonts w:hint="eastAsia" w:ascii="黑体" w:hAnsi="黑体" w:eastAsia="黑体" w:cs="黑体"/>
          <w:color w:val="auto"/>
          <w:sz w:val="32"/>
          <w:szCs w:val="32"/>
          <w:lang w:val="en-US" w:eastAsia="zh-CN"/>
        </w:rPr>
        <w:t>B类</w:t>
      </w:r>
      <w:r>
        <w:rPr>
          <w:rFonts w:hint="eastAsia" w:ascii="黑体" w:hAnsi="黑体" w:eastAsia="黑体" w:cs="黑体"/>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eastAsia="仿宋"/>
          <w:bCs/>
          <w:color w:val="auto"/>
          <w:sz w:val="32"/>
          <w:szCs w:val="32"/>
          <w:lang w:val="en"/>
        </w:rPr>
      </w:pPr>
      <w:r>
        <w:rPr>
          <w:rFonts w:hint="eastAsia" w:eastAsia="仿宋"/>
          <w:bCs/>
          <w:color w:val="auto"/>
          <w:sz w:val="32"/>
          <w:szCs w:val="32"/>
          <w:lang w:val="en"/>
        </w:rPr>
        <w:t>主要研究内容：</w:t>
      </w:r>
      <w:r>
        <w:rPr>
          <w:rFonts w:hint="eastAsia" w:eastAsia="仿宋"/>
          <w:bCs/>
          <w:color w:val="auto"/>
          <w:sz w:val="32"/>
          <w:szCs w:val="32"/>
          <w:lang w:val="en" w:eastAsia="zh-CN"/>
        </w:rPr>
        <w:t>开展甜瓜核心品系全基因组测序工作，针对育种需求，挖掘外观、品质、抗病等重要农艺性状基因，加强相关分子标记的开发与实际应用，建立甜瓜高效分子育种技术体系，结合分子标记辅助选择技术与常规育种技术，进行甜瓜白粉病、蔓枯病的抗性育种研究，创制抗病种质</w:t>
      </w:r>
      <w:r>
        <w:rPr>
          <w:rFonts w:hint="eastAsia" w:eastAsia="仿宋"/>
          <w:bCs/>
          <w:color w:val="auto"/>
          <w:sz w:val="32"/>
          <w:szCs w:val="32"/>
          <w:lang w:val="en-US" w:eastAsia="zh-CN"/>
        </w:rPr>
        <w:t>10-20份，培育优质、多抗品种3个；申请甜瓜品种权2项。通过甜瓜不同变种间杂交，加大甜瓜新种质创新力度，获得甜瓜创新型育种材料50份；新品种</w:t>
      </w:r>
      <w:r>
        <w:rPr>
          <w:rFonts w:hint="eastAsia" w:eastAsia="仿宋"/>
          <w:bCs/>
          <w:color w:val="auto"/>
          <w:sz w:val="32"/>
          <w:szCs w:val="32"/>
          <w:lang w:val="en"/>
        </w:rPr>
        <w:t>示范面积</w:t>
      </w:r>
      <w:r>
        <w:rPr>
          <w:rFonts w:hint="eastAsia" w:eastAsia="仿宋"/>
          <w:bCs/>
          <w:color w:val="auto"/>
          <w:sz w:val="32"/>
          <w:szCs w:val="32"/>
          <w:lang w:val="en-US" w:eastAsia="zh-CN"/>
        </w:rPr>
        <w:t>2万</w:t>
      </w:r>
      <w:r>
        <w:rPr>
          <w:rFonts w:hint="eastAsia" w:eastAsia="仿宋"/>
          <w:bCs/>
          <w:color w:val="auto"/>
          <w:sz w:val="32"/>
          <w:szCs w:val="32"/>
          <w:lang w:val="en"/>
        </w:rPr>
        <w:t>亩</w:t>
      </w:r>
      <w:r>
        <w:rPr>
          <w:rFonts w:hint="eastAsia" w:eastAsia="仿宋"/>
          <w:bCs/>
          <w:color w:val="auto"/>
          <w:sz w:val="32"/>
          <w:szCs w:val="32"/>
          <w:lang w:val="en" w:eastAsia="zh-CN"/>
        </w:rPr>
        <w:t>以上</w:t>
      </w:r>
      <w:r>
        <w:rPr>
          <w:rFonts w:hint="eastAsia" w:eastAsia="仿宋"/>
          <w:bCs/>
          <w:color w:val="auto"/>
          <w:sz w:val="32"/>
          <w:szCs w:val="32"/>
          <w:lang w:val="en"/>
        </w:rPr>
        <w:t>。</w:t>
      </w:r>
    </w:p>
    <w:p>
      <w:pPr>
        <w:pStyle w:val="6"/>
        <w:keepNext w:val="0"/>
        <w:keepLines w:val="0"/>
        <w:pageBreakBefore w:val="0"/>
        <w:widowControl w:val="0"/>
        <w:kinsoku/>
        <w:wordWrap/>
        <w:overflowPunct/>
        <w:topLinePunct w:val="0"/>
        <w:autoSpaceDE/>
        <w:autoSpaceDN/>
        <w:bidi w:val="0"/>
        <w:spacing w:line="500" w:lineRule="exact"/>
        <w:ind w:firstLine="643"/>
        <w:textAlignment w:val="auto"/>
        <w:rPr>
          <w:rFonts w:hint="eastAsia" w:ascii="宋体" w:hAnsi="宋体" w:eastAsia="宋体" w:cs="宋体"/>
          <w:b/>
        </w:rPr>
      </w:pPr>
    </w:p>
    <w:p>
      <w:pPr>
        <w:pStyle w:val="6"/>
        <w:keepNext w:val="0"/>
        <w:keepLines w:val="0"/>
        <w:pageBreakBefore w:val="0"/>
        <w:widowControl w:val="0"/>
        <w:kinsoku/>
        <w:wordWrap/>
        <w:overflowPunct/>
        <w:topLinePunct w:val="0"/>
        <w:autoSpaceDE/>
        <w:autoSpaceDN/>
        <w:bidi w:val="0"/>
        <w:spacing w:line="500" w:lineRule="exact"/>
        <w:ind w:firstLine="643"/>
        <w:textAlignment w:val="auto"/>
        <w:rPr>
          <w:rFonts w:ascii="Times New Roman"/>
          <w:b/>
        </w:rPr>
      </w:pPr>
      <w:r>
        <w:rPr>
          <w:rFonts w:hint="eastAsia" w:ascii="宋体" w:hAnsi="宋体" w:eastAsia="宋体" w:cs="宋体"/>
          <w:b/>
        </w:rPr>
        <w:t>★</w:t>
      </w:r>
      <w:r>
        <w:rPr>
          <w:rFonts w:ascii="Times New Roman"/>
          <w:b/>
        </w:rPr>
        <w:t>关于申报单位性质标注说明</w:t>
      </w:r>
    </w:p>
    <w:p>
      <w:pPr>
        <w:pStyle w:val="2"/>
        <w:keepNext w:val="0"/>
        <w:keepLines w:val="0"/>
        <w:pageBreakBefore w:val="0"/>
        <w:widowControl w:val="0"/>
        <w:kinsoku/>
        <w:wordWrap/>
        <w:overflowPunct/>
        <w:topLinePunct w:val="0"/>
        <w:autoSpaceDE/>
        <w:autoSpaceDN/>
        <w:bidi w:val="0"/>
        <w:spacing w:line="500" w:lineRule="exact"/>
        <w:ind w:left="0" w:leftChars="0" w:firstLine="0" w:firstLineChars="0"/>
        <w:jc w:val="left"/>
        <w:textAlignment w:val="auto"/>
        <w:rPr>
          <w:rFonts w:hint="eastAsia"/>
          <w:lang w:val="en" w:eastAsia="zh-CN"/>
        </w:rPr>
      </w:pPr>
      <w:r>
        <w:rPr>
          <w:rFonts w:hint="eastAsia" w:ascii="Calibri" w:hAnsi="Calibri" w:eastAsia="仿宋" w:cs="Times New Roman"/>
          <w:bCs/>
          <w:kern w:val="2"/>
          <w:sz w:val="32"/>
          <w:szCs w:val="32"/>
          <w:lang w:val="en-US" w:eastAsia="zh-CN" w:bidi="ar-SA"/>
        </w:rPr>
        <w:t xml:space="preserve">   </w:t>
      </w:r>
      <w:r>
        <w:rPr>
          <w:rFonts w:hint="eastAsia" w:ascii="Calibri" w:hAnsi="Calibri" w:eastAsia="仿宋" w:cs="Times New Roman"/>
          <w:bCs/>
          <w:kern w:val="2"/>
          <w:sz w:val="32"/>
          <w:szCs w:val="32"/>
          <w:lang w:val="en" w:eastAsia="zh-CN" w:bidi="ar-SA"/>
        </w:rPr>
        <w:t>“</w:t>
      </w:r>
      <w:r>
        <w:rPr>
          <w:rFonts w:hint="eastAsia" w:ascii="Calibri" w:hAnsi="Calibri" w:eastAsia="仿宋" w:cs="Times New Roman"/>
          <w:b/>
          <w:bCs w:val="0"/>
          <w:kern w:val="2"/>
          <w:sz w:val="32"/>
          <w:szCs w:val="32"/>
          <w:lang w:val="en" w:eastAsia="zh-CN" w:bidi="ar-SA"/>
        </w:rPr>
        <w:t>A类</w:t>
      </w:r>
      <w:r>
        <w:rPr>
          <w:rFonts w:hint="eastAsia" w:ascii="Calibri" w:hAnsi="Calibri" w:eastAsia="仿宋" w:cs="Times New Roman"/>
          <w:bCs/>
          <w:kern w:val="2"/>
          <w:sz w:val="32"/>
          <w:szCs w:val="32"/>
          <w:lang w:val="en" w:eastAsia="zh-CN" w:bidi="ar-SA"/>
        </w:rPr>
        <w:t>”指科研院所、高等院校和企业均可申报，但以科研院所或高等院校为主承担单位申报时须有本地企业参与；“</w:t>
      </w:r>
      <w:r>
        <w:rPr>
          <w:rFonts w:hint="eastAsia" w:ascii="Calibri" w:hAnsi="Calibri" w:eastAsia="仿宋" w:cs="Times New Roman"/>
          <w:b/>
          <w:bCs w:val="0"/>
          <w:kern w:val="2"/>
          <w:sz w:val="32"/>
          <w:szCs w:val="32"/>
          <w:lang w:val="en" w:eastAsia="zh-CN" w:bidi="ar-SA"/>
        </w:rPr>
        <w:t>B类</w:t>
      </w:r>
      <w:r>
        <w:rPr>
          <w:rFonts w:hint="eastAsia" w:ascii="Calibri" w:hAnsi="Calibri" w:eastAsia="仿宋" w:cs="Times New Roman"/>
          <w:bCs/>
          <w:kern w:val="2"/>
          <w:sz w:val="32"/>
          <w:szCs w:val="32"/>
          <w:lang w:val="en" w:eastAsia="zh-CN" w:bidi="ar-SA"/>
        </w:rPr>
        <w:t>”指须以企业为主承担单位进行申报。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FA51E"/>
    <w:multiLevelType w:val="singleLevel"/>
    <w:tmpl w:val="DE5FA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02"/>
    <w:rsid w:val="00073204"/>
    <w:rsid w:val="00162A02"/>
    <w:rsid w:val="001C54ED"/>
    <w:rsid w:val="001D14A7"/>
    <w:rsid w:val="00221EAD"/>
    <w:rsid w:val="00223B7A"/>
    <w:rsid w:val="00241C33"/>
    <w:rsid w:val="00255124"/>
    <w:rsid w:val="0028674B"/>
    <w:rsid w:val="002E1C1B"/>
    <w:rsid w:val="002F01E4"/>
    <w:rsid w:val="002F4C72"/>
    <w:rsid w:val="0032297D"/>
    <w:rsid w:val="0034263E"/>
    <w:rsid w:val="003E5069"/>
    <w:rsid w:val="004241C7"/>
    <w:rsid w:val="004571D2"/>
    <w:rsid w:val="004F405D"/>
    <w:rsid w:val="00552908"/>
    <w:rsid w:val="00594AA6"/>
    <w:rsid w:val="00647828"/>
    <w:rsid w:val="006813E6"/>
    <w:rsid w:val="006C4CBF"/>
    <w:rsid w:val="006C67C9"/>
    <w:rsid w:val="006F17F7"/>
    <w:rsid w:val="007037A0"/>
    <w:rsid w:val="0071748A"/>
    <w:rsid w:val="00773828"/>
    <w:rsid w:val="007763DD"/>
    <w:rsid w:val="007B7798"/>
    <w:rsid w:val="007D376A"/>
    <w:rsid w:val="0083647C"/>
    <w:rsid w:val="00843B6E"/>
    <w:rsid w:val="008A05AC"/>
    <w:rsid w:val="008D2C7A"/>
    <w:rsid w:val="00917D4B"/>
    <w:rsid w:val="00953D37"/>
    <w:rsid w:val="00A52318"/>
    <w:rsid w:val="00A7123C"/>
    <w:rsid w:val="00A835B7"/>
    <w:rsid w:val="00AE6330"/>
    <w:rsid w:val="00B53FCA"/>
    <w:rsid w:val="00BF12E1"/>
    <w:rsid w:val="00CA4E75"/>
    <w:rsid w:val="00D2491E"/>
    <w:rsid w:val="00D64D4C"/>
    <w:rsid w:val="00DA2B18"/>
    <w:rsid w:val="00DA326D"/>
    <w:rsid w:val="00DB484A"/>
    <w:rsid w:val="00E32348"/>
    <w:rsid w:val="00F03E23"/>
    <w:rsid w:val="00F15FA1"/>
    <w:rsid w:val="00F33741"/>
    <w:rsid w:val="00F3503F"/>
    <w:rsid w:val="00F5738C"/>
    <w:rsid w:val="02FE81C3"/>
    <w:rsid w:val="17DF37E3"/>
    <w:rsid w:val="18B63BE2"/>
    <w:rsid w:val="197F65CD"/>
    <w:rsid w:val="1C7F22CA"/>
    <w:rsid w:val="1EDF9F3B"/>
    <w:rsid w:val="1F9EAB5D"/>
    <w:rsid w:val="23FF7CD0"/>
    <w:rsid w:val="2DE5E8F9"/>
    <w:rsid w:val="2FEDD2CD"/>
    <w:rsid w:val="2FEE13E5"/>
    <w:rsid w:val="35CFC0C6"/>
    <w:rsid w:val="36ED5C85"/>
    <w:rsid w:val="39BFE56B"/>
    <w:rsid w:val="3B7FFB7B"/>
    <w:rsid w:val="3DCD91B8"/>
    <w:rsid w:val="3F7F7EE5"/>
    <w:rsid w:val="3FF364CF"/>
    <w:rsid w:val="439C1B7F"/>
    <w:rsid w:val="472BF113"/>
    <w:rsid w:val="49DF4A37"/>
    <w:rsid w:val="4CFF6603"/>
    <w:rsid w:val="57FDAC0A"/>
    <w:rsid w:val="5DDFA996"/>
    <w:rsid w:val="5DEF1F61"/>
    <w:rsid w:val="5F7F4154"/>
    <w:rsid w:val="5FF3CB14"/>
    <w:rsid w:val="655BA727"/>
    <w:rsid w:val="66DFAE22"/>
    <w:rsid w:val="677AC716"/>
    <w:rsid w:val="67BFD6FE"/>
    <w:rsid w:val="67FFA9A3"/>
    <w:rsid w:val="6D1FBFFE"/>
    <w:rsid w:val="6DF6C057"/>
    <w:rsid w:val="6FBED2C5"/>
    <w:rsid w:val="6FBFB7C2"/>
    <w:rsid w:val="72FD11EA"/>
    <w:rsid w:val="773D23D2"/>
    <w:rsid w:val="77AFFBA3"/>
    <w:rsid w:val="77B2B45C"/>
    <w:rsid w:val="77EEEDBA"/>
    <w:rsid w:val="77FF2316"/>
    <w:rsid w:val="796FD3E3"/>
    <w:rsid w:val="79AF7B21"/>
    <w:rsid w:val="7BFBF487"/>
    <w:rsid w:val="7BFF7608"/>
    <w:rsid w:val="7C633B89"/>
    <w:rsid w:val="7C9E8D0E"/>
    <w:rsid w:val="7DBFD5E2"/>
    <w:rsid w:val="7DDF2F06"/>
    <w:rsid w:val="7E3B53A4"/>
    <w:rsid w:val="7E7FB67E"/>
    <w:rsid w:val="7E9FE5FE"/>
    <w:rsid w:val="7ED70302"/>
    <w:rsid w:val="7EEDDF7D"/>
    <w:rsid w:val="7EF1B9DC"/>
    <w:rsid w:val="7EF22498"/>
    <w:rsid w:val="7EFB5670"/>
    <w:rsid w:val="7EFF2A6C"/>
    <w:rsid w:val="7EFF7977"/>
    <w:rsid w:val="7F6F9714"/>
    <w:rsid w:val="7F9DCC48"/>
    <w:rsid w:val="7FB66928"/>
    <w:rsid w:val="7FBFD981"/>
    <w:rsid w:val="7FD7185A"/>
    <w:rsid w:val="7FEF62B8"/>
    <w:rsid w:val="8BE72F84"/>
    <w:rsid w:val="97FF7AA6"/>
    <w:rsid w:val="9BA637F4"/>
    <w:rsid w:val="A7FF3CC0"/>
    <w:rsid w:val="B3FFE063"/>
    <w:rsid w:val="BE565CA8"/>
    <w:rsid w:val="BFBF2DB7"/>
    <w:rsid w:val="BFF371F3"/>
    <w:rsid w:val="C6DFD8D9"/>
    <w:rsid w:val="C9FFDBB9"/>
    <w:rsid w:val="CF59B950"/>
    <w:rsid w:val="CFF4859E"/>
    <w:rsid w:val="CFFE606E"/>
    <w:rsid w:val="D3FCFD5E"/>
    <w:rsid w:val="D75F72A3"/>
    <w:rsid w:val="D7BC5531"/>
    <w:rsid w:val="DAAF971D"/>
    <w:rsid w:val="DBBF0FCF"/>
    <w:rsid w:val="DCDD9A40"/>
    <w:rsid w:val="DF17D4F1"/>
    <w:rsid w:val="DF5F30F2"/>
    <w:rsid w:val="DFDFA949"/>
    <w:rsid w:val="DFFBA29F"/>
    <w:rsid w:val="E39FECE5"/>
    <w:rsid w:val="E67F0284"/>
    <w:rsid w:val="ED7324A8"/>
    <w:rsid w:val="EDE3645C"/>
    <w:rsid w:val="EDFB5004"/>
    <w:rsid w:val="EEEF5C5B"/>
    <w:rsid w:val="EEFE9E7D"/>
    <w:rsid w:val="EFCF1686"/>
    <w:rsid w:val="EFE54D48"/>
    <w:rsid w:val="EFFF7C9C"/>
    <w:rsid w:val="F27FA57F"/>
    <w:rsid w:val="F36FE62C"/>
    <w:rsid w:val="F7E94522"/>
    <w:rsid w:val="F8FFF0D8"/>
    <w:rsid w:val="F96148CF"/>
    <w:rsid w:val="F97E0759"/>
    <w:rsid w:val="F9BB9FDE"/>
    <w:rsid w:val="FAD73B8E"/>
    <w:rsid w:val="FB772C35"/>
    <w:rsid w:val="FB7BFA41"/>
    <w:rsid w:val="FBEF7E3E"/>
    <w:rsid w:val="FBF5BD65"/>
    <w:rsid w:val="FBF7B36B"/>
    <w:rsid w:val="FBFF4186"/>
    <w:rsid w:val="FE7FB44B"/>
    <w:rsid w:val="FEE537DE"/>
    <w:rsid w:val="FEF8DA73"/>
    <w:rsid w:val="FF77404C"/>
    <w:rsid w:val="FF7E3D97"/>
    <w:rsid w:val="FF7FC856"/>
    <w:rsid w:val="FF9BF797"/>
    <w:rsid w:val="FFCE8A1C"/>
    <w:rsid w:val="FFCFA559"/>
    <w:rsid w:val="FFD51283"/>
    <w:rsid w:val="FFEF6CD0"/>
    <w:rsid w:val="FFF36263"/>
    <w:rsid w:val="FFF49AC3"/>
    <w:rsid w:val="FFFA9CC1"/>
    <w:rsid w:val="FFFE2BB5"/>
    <w:rsid w:val="FFFF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line="360" w:lineRule="auto"/>
      <w:outlineLvl w:val="1"/>
    </w:pPr>
    <w:rPr>
      <w:rFonts w:ascii="Times New Roman" w:hAnsi="Times New Roman" w:eastAsia="黑体"/>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ind w:firstLine="480" w:firstLineChars="200"/>
      <w:jc w:val="left"/>
    </w:pPr>
    <w:rPr>
      <w:szCs w:val="24"/>
    </w:rPr>
  </w:style>
  <w:style w:type="paragraph" w:styleId="5">
    <w:name w:val="annotation text"/>
    <w:basedOn w:val="1"/>
    <w:qFormat/>
    <w:uiPriority w:val="0"/>
    <w:pPr>
      <w:jc w:val="left"/>
    </w:pPr>
  </w:style>
  <w:style w:type="paragraph" w:styleId="6">
    <w:name w:val="Body Text Indent 2"/>
    <w:basedOn w:val="1"/>
    <w:qFormat/>
    <w:uiPriority w:val="99"/>
    <w:pPr>
      <w:adjustRightInd w:val="0"/>
      <w:snapToGrid w:val="0"/>
      <w:spacing w:line="540" w:lineRule="exact"/>
      <w:ind w:firstLine="640" w:firstLineChars="200"/>
    </w:pPr>
    <w:rPr>
      <w:rFonts w:ascii="仿宋_GB2312" w:eastAsia="仿宋_GB2312" w:cs="仿宋_GB2312"/>
      <w:sz w:val="32"/>
      <w:szCs w:val="32"/>
    </w:rPr>
  </w:style>
  <w:style w:type="paragraph" w:styleId="7">
    <w:name w:val="Balloon Text"/>
    <w:basedOn w:val="1"/>
    <w:link w:val="17"/>
    <w:semiHidden/>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Subtitle"/>
    <w:basedOn w:val="4"/>
    <w:next w:val="1"/>
    <w:qFormat/>
    <w:uiPriority w:val="0"/>
    <w:pPr>
      <w:tabs>
        <w:tab w:val="left" w:pos="7371"/>
        <w:tab w:val="left" w:pos="7513"/>
      </w:tabs>
      <w:adjustRightInd w:val="0"/>
      <w:snapToGrid w:val="0"/>
      <w:spacing w:line="560" w:lineRule="exact"/>
      <w:ind w:firstLine="605" w:firstLineChars="200"/>
    </w:pPr>
    <w:rPr>
      <w:rFonts w:ascii="楷体_GB2312" w:hAnsi="Cambria" w:eastAsia="楷体_GB2312" w:cs="Times New Roman"/>
      <w:kern w:val="0"/>
      <w:sz w:val="3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paragraph" w:customStyle="1" w:styleId="15">
    <w:name w:val="qt-attachments-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List Paragraph"/>
    <w:basedOn w:val="1"/>
    <w:qFormat/>
    <w:uiPriority w:val="34"/>
    <w:pPr>
      <w:tabs>
        <w:tab w:val="left" w:pos="7371"/>
        <w:tab w:val="left" w:pos="7513"/>
      </w:tabs>
      <w:adjustRightInd w:val="0"/>
      <w:snapToGrid w:val="0"/>
      <w:spacing w:line="560" w:lineRule="exact"/>
      <w:ind w:firstLine="420" w:firstLineChars="200"/>
    </w:pPr>
    <w:rPr>
      <w:rFonts w:ascii="Calibri" w:hAnsi="Calibri" w:eastAsia="仿宋_GB2312" w:cs="Times New Roman"/>
      <w:kern w:val="0"/>
      <w:sz w:val="32"/>
    </w:rPr>
  </w:style>
  <w:style w:type="character" w:customStyle="1" w:styleId="17">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3950</Words>
  <Characters>4180</Characters>
  <Lines>43</Lines>
  <Paragraphs>12</Paragraphs>
  <TotalTime>13</TotalTime>
  <ScaleCrop>false</ScaleCrop>
  <LinksUpToDate>false</LinksUpToDate>
  <CharactersWithSpaces>4239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2021-05-12T23:57:00Z</dcterms:created>
  <dc:creator>wu</dc:creator>
  <cp:lastModifiedBy>kylin</cp:lastModifiedBy>
  <cp:lastPrinted>2022-09-10T19:22:00Z</cp:lastPrinted>
  <dcterms:modified xsi:type="dcterms:W3CDTF">2023-11-08T10:47:52Z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