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C6F9" w14:textId="77777777" w:rsidR="00C87667" w:rsidRDefault="00000000" w:rsidP="00C926FE">
      <w:pPr>
        <w:adjustRightInd w:val="0"/>
        <w:snapToGrid w:val="0"/>
        <w:spacing w:line="560" w:lineRule="exact"/>
        <w:jc w:val="center"/>
        <w:rPr>
          <w:rFonts w:ascii="方正小标宋简体" w:eastAsia="方正小标宋简体" w:hAnsi="方正小标宋简体" w:cs="方正小标宋简体" w:hint="eastAsia"/>
          <w:sz w:val="44"/>
          <w:szCs w:val="44"/>
        </w:rPr>
      </w:pPr>
      <w:bookmarkStart w:id="0" w:name="OLE_LINK1"/>
      <w:r>
        <w:rPr>
          <w:rFonts w:ascii="方正小标宋简体" w:eastAsia="方正小标宋简体" w:hAnsi="方正小标宋简体" w:cs="方正小标宋简体" w:hint="eastAsia"/>
          <w:sz w:val="44"/>
          <w:szCs w:val="44"/>
        </w:rPr>
        <w:t>北京市新一轮重点“小巨人”企业高质量发展项目奖补资金分配方案</w:t>
      </w:r>
    </w:p>
    <w:bookmarkEnd w:id="0"/>
    <w:p w14:paraId="498FFB73" w14:textId="77777777" w:rsidR="00C87667" w:rsidRDefault="00C87667">
      <w:pPr>
        <w:adjustRightInd w:val="0"/>
        <w:snapToGrid w:val="0"/>
        <w:spacing w:line="560" w:lineRule="exact"/>
        <w:ind w:firstLineChars="200" w:firstLine="652"/>
        <w:rPr>
          <w:rFonts w:ascii="仿宋_GB2312" w:eastAsia="仿宋_GB2312" w:hAnsi="Times New Roman"/>
          <w:sz w:val="32"/>
          <w:szCs w:val="32"/>
        </w:rPr>
      </w:pPr>
    </w:p>
    <w:p w14:paraId="33AE3F13" w14:textId="71CAB383" w:rsidR="00C87667" w:rsidRDefault="00000000">
      <w:pPr>
        <w:adjustRightInd w:val="0"/>
        <w:snapToGrid w:val="0"/>
        <w:spacing w:line="560" w:lineRule="exact"/>
        <w:ind w:firstLineChars="200" w:firstLine="652"/>
        <w:rPr>
          <w:rFonts w:ascii="仿宋_GB2312" w:eastAsia="仿宋_GB2312" w:hAnsi="Times New Roman"/>
          <w:sz w:val="32"/>
          <w:szCs w:val="32"/>
        </w:rPr>
      </w:pPr>
      <w:r>
        <w:rPr>
          <w:rFonts w:ascii="仿宋_GB2312" w:eastAsia="仿宋_GB2312" w:hAnsi="Times New Roman" w:hint="eastAsia"/>
          <w:sz w:val="32"/>
          <w:szCs w:val="32"/>
        </w:rPr>
        <w:t>为贯彻落实党中央、国务院关于支持专精特新中小企业高质量发展的决策部署，根据《财政部工业和信息化部关于进一步支持专精特新中小企业高质量发展的通知》（财建〔2024〕148号）要求，为确保奖补资金分配合理、使用规范，更好发挥财政资金引导带动作用，激励企业创新，市经济和信息化局</w:t>
      </w:r>
      <w:r w:rsidR="00F2164A">
        <w:rPr>
          <w:rFonts w:ascii="仿宋_GB2312" w:eastAsia="仿宋_GB2312" w:hAnsi="Times New Roman" w:hint="eastAsia"/>
          <w:sz w:val="32"/>
          <w:szCs w:val="32"/>
        </w:rPr>
        <w:t>会同</w:t>
      </w:r>
      <w:r>
        <w:rPr>
          <w:rFonts w:ascii="仿宋_GB2312" w:eastAsia="仿宋_GB2312" w:hAnsi="Times New Roman" w:hint="eastAsia"/>
          <w:sz w:val="32"/>
          <w:szCs w:val="32"/>
        </w:rPr>
        <w:t>市财政局制定本资金分配方案。</w:t>
      </w:r>
    </w:p>
    <w:p w14:paraId="3EB67CA4" w14:textId="6B739FCB" w:rsidR="00C87667" w:rsidRDefault="00000000">
      <w:pPr>
        <w:adjustRightInd w:val="0"/>
        <w:snapToGrid w:val="0"/>
        <w:spacing w:line="560" w:lineRule="exact"/>
        <w:ind w:firstLineChars="200" w:firstLine="652"/>
        <w:jc w:val="left"/>
        <w:outlineLvl w:val="0"/>
        <w:rPr>
          <w:rFonts w:ascii="黑体" w:eastAsia="黑体" w:hAnsi="黑体" w:hint="eastAsia"/>
          <w:bCs/>
          <w:kern w:val="44"/>
          <w:sz w:val="32"/>
          <w:szCs w:val="32"/>
        </w:rPr>
      </w:pPr>
      <w:r>
        <w:rPr>
          <w:rFonts w:ascii="黑体" w:eastAsia="黑体" w:hAnsi="黑体" w:hint="eastAsia"/>
          <w:bCs/>
          <w:kern w:val="44"/>
          <w:sz w:val="32"/>
          <w:szCs w:val="32"/>
        </w:rPr>
        <w:t>一、资金</w:t>
      </w:r>
      <w:r w:rsidR="002506B0">
        <w:rPr>
          <w:rFonts w:ascii="黑体" w:eastAsia="黑体" w:hAnsi="黑体" w:hint="eastAsia"/>
          <w:bCs/>
          <w:kern w:val="44"/>
          <w:sz w:val="32"/>
          <w:szCs w:val="32"/>
        </w:rPr>
        <w:t>总体安</w:t>
      </w:r>
      <w:r>
        <w:rPr>
          <w:rFonts w:ascii="黑体" w:eastAsia="黑体" w:hAnsi="黑体" w:hint="eastAsia"/>
          <w:bCs/>
          <w:kern w:val="44"/>
          <w:sz w:val="32"/>
          <w:szCs w:val="32"/>
        </w:rPr>
        <w:t>排</w:t>
      </w:r>
    </w:p>
    <w:p w14:paraId="3777A489" w14:textId="73542203" w:rsidR="00C87667" w:rsidRDefault="0045307D" w:rsidP="00F2164A">
      <w:pPr>
        <w:adjustRightInd w:val="0"/>
        <w:snapToGrid w:val="0"/>
        <w:spacing w:line="560" w:lineRule="exact"/>
        <w:ind w:firstLineChars="200" w:firstLine="652"/>
        <w:rPr>
          <w:rFonts w:ascii="仿宋_GB2312" w:eastAsia="仿宋_GB2312" w:hAnsi="Times New Roman" w:hint="eastAsia"/>
          <w:sz w:val="32"/>
          <w:szCs w:val="32"/>
        </w:rPr>
      </w:pPr>
      <w:r>
        <w:rPr>
          <w:rFonts w:ascii="仿宋_GB2312" w:eastAsia="仿宋_GB2312" w:hAnsi="Times New Roman" w:hint="eastAsia"/>
          <w:sz w:val="32"/>
          <w:szCs w:val="32"/>
        </w:rPr>
        <w:t>新一轮重点“小巨人”企业高质量发展项目</w:t>
      </w:r>
      <w:r w:rsidR="00000000">
        <w:rPr>
          <w:rFonts w:ascii="仿宋_GB2312" w:eastAsia="仿宋_GB2312" w:hAnsi="Times New Roman" w:hint="eastAsia"/>
          <w:sz w:val="32"/>
          <w:szCs w:val="32"/>
        </w:rPr>
        <w:t>实施期初奖补资金的95%用于</w:t>
      </w:r>
      <w:r>
        <w:rPr>
          <w:rFonts w:ascii="仿宋_GB2312" w:eastAsia="仿宋_GB2312" w:hAnsi="Times New Roman" w:hint="eastAsia"/>
          <w:sz w:val="32"/>
          <w:szCs w:val="32"/>
        </w:rPr>
        <w:t>支持</w:t>
      </w:r>
      <w:r w:rsidR="00000000">
        <w:rPr>
          <w:rFonts w:ascii="仿宋_GB2312" w:eastAsia="仿宋_GB2312" w:hAnsi="Times New Roman" w:hint="eastAsia"/>
          <w:sz w:val="32"/>
          <w:szCs w:val="32"/>
        </w:rPr>
        <w:t>重点“小巨人”企业进行“三新一强”重点项目建设</w:t>
      </w:r>
      <w:bookmarkStart w:id="1" w:name="OLE_LINK2"/>
      <w:r w:rsidR="000B40D6">
        <w:rPr>
          <w:rFonts w:ascii="仿宋_GB2312" w:eastAsia="仿宋_GB2312" w:hAnsi="Times New Roman" w:hint="eastAsia"/>
          <w:sz w:val="32"/>
          <w:szCs w:val="32"/>
        </w:rPr>
        <w:t>，</w:t>
      </w:r>
      <w:r w:rsidR="006B35FA">
        <w:rPr>
          <w:rFonts w:ascii="仿宋_GB2312" w:eastAsia="仿宋_GB2312" w:hAnsi="Times New Roman" w:hint="eastAsia"/>
          <w:sz w:val="32"/>
          <w:szCs w:val="32"/>
        </w:rPr>
        <w:t>奖补资金的5%用于对我市专精特新企业培育赋能</w:t>
      </w:r>
      <w:r w:rsidR="006B35FA">
        <w:rPr>
          <w:rFonts w:ascii="仿宋_GB2312" w:eastAsia="仿宋_GB2312" w:hAnsi="Times New Roman" w:hint="eastAsia"/>
          <w:sz w:val="32"/>
          <w:szCs w:val="32"/>
        </w:rPr>
        <w:t>。</w:t>
      </w:r>
      <w:bookmarkEnd w:id="1"/>
      <w:r w:rsidR="006B35FA">
        <w:rPr>
          <w:rFonts w:ascii="仿宋_GB2312" w:eastAsia="仿宋_GB2312" w:hAnsi="Times New Roman" w:hint="eastAsia"/>
          <w:sz w:val="32"/>
          <w:szCs w:val="32"/>
        </w:rPr>
        <w:t>用于支持重点“小巨人”</w:t>
      </w:r>
      <w:r w:rsidR="006B35FA">
        <w:rPr>
          <w:rFonts w:ascii="仿宋_GB2312" w:eastAsia="仿宋_GB2312" w:hAnsi="Times New Roman" w:hint="eastAsia"/>
          <w:sz w:val="32"/>
          <w:szCs w:val="32"/>
        </w:rPr>
        <w:t>企业</w:t>
      </w:r>
      <w:r w:rsidR="006B35FA">
        <w:rPr>
          <w:rFonts w:ascii="仿宋_GB2312" w:eastAsia="仿宋_GB2312" w:hAnsi="Times New Roman" w:hint="eastAsia"/>
          <w:sz w:val="32"/>
          <w:szCs w:val="32"/>
        </w:rPr>
        <w:t>的奖补资金</w:t>
      </w:r>
      <w:r w:rsidR="006B35FA">
        <w:rPr>
          <w:rFonts w:ascii="仿宋_GB2312" w:eastAsia="仿宋_GB2312" w:hAnsi="Times New Roman" w:hint="eastAsia"/>
          <w:sz w:val="32"/>
          <w:szCs w:val="32"/>
        </w:rPr>
        <w:t>分为A、B、C三档</w:t>
      </w:r>
      <w:r w:rsidR="006B35FA">
        <w:rPr>
          <w:rFonts w:ascii="仿宋_GB2312" w:eastAsia="仿宋_GB2312" w:hAnsi="Times New Roman" w:hint="eastAsia"/>
          <w:sz w:val="32"/>
          <w:szCs w:val="32"/>
        </w:rPr>
        <w:t>，</w:t>
      </w:r>
      <w:r w:rsidR="006B35FA">
        <w:rPr>
          <w:rFonts w:ascii="仿宋_GB2312" w:eastAsia="仿宋_GB2312" w:hAnsi="Times New Roman" w:hint="eastAsia"/>
          <w:sz w:val="32"/>
          <w:szCs w:val="32"/>
        </w:rPr>
        <w:t>其中A档奖励300万元、B档奖励285万元、C档奖励270万元。</w:t>
      </w:r>
    </w:p>
    <w:p w14:paraId="03EFEBF3" w14:textId="29FE4AB5" w:rsidR="00C87667" w:rsidRDefault="00F2164A">
      <w:pPr>
        <w:adjustRightInd w:val="0"/>
        <w:snapToGrid w:val="0"/>
        <w:spacing w:line="560" w:lineRule="exact"/>
        <w:ind w:firstLineChars="200" w:firstLine="652"/>
        <w:jc w:val="left"/>
        <w:outlineLvl w:val="0"/>
        <w:rPr>
          <w:rFonts w:ascii="黑体" w:eastAsia="黑体" w:hAnsi="黑体" w:hint="eastAsia"/>
          <w:bCs/>
          <w:kern w:val="44"/>
          <w:sz w:val="32"/>
          <w:szCs w:val="32"/>
        </w:rPr>
      </w:pPr>
      <w:r>
        <w:rPr>
          <w:rFonts w:ascii="黑体" w:eastAsia="黑体" w:hAnsi="黑体" w:hint="eastAsia"/>
          <w:bCs/>
          <w:kern w:val="44"/>
          <w:sz w:val="32"/>
          <w:szCs w:val="32"/>
        </w:rPr>
        <w:t>二</w:t>
      </w:r>
      <w:r w:rsidR="00000000">
        <w:rPr>
          <w:rFonts w:ascii="黑体" w:eastAsia="黑体" w:hAnsi="黑体" w:hint="eastAsia"/>
          <w:bCs/>
          <w:kern w:val="44"/>
          <w:sz w:val="32"/>
          <w:szCs w:val="32"/>
        </w:rPr>
        <w:t>、资金使用要求</w:t>
      </w:r>
    </w:p>
    <w:p w14:paraId="51A11BA2" w14:textId="21D9E6F6" w:rsidR="00C87667" w:rsidRDefault="00000000">
      <w:pPr>
        <w:adjustRightInd w:val="0"/>
        <w:snapToGrid w:val="0"/>
        <w:spacing w:line="560" w:lineRule="exact"/>
        <w:ind w:firstLineChars="200" w:firstLine="652"/>
        <w:rPr>
          <w:rFonts w:ascii="仿宋_GB2312" w:eastAsia="仿宋_GB2312" w:hAnsi="Times New Roman"/>
          <w:sz w:val="32"/>
          <w:szCs w:val="32"/>
        </w:rPr>
      </w:pPr>
      <w:r>
        <w:rPr>
          <w:rFonts w:ascii="仿宋_GB2312" w:eastAsia="仿宋_GB2312" w:hAnsi="Times New Roman" w:hint="eastAsia"/>
          <w:sz w:val="32"/>
          <w:szCs w:val="32"/>
        </w:rPr>
        <w:t>（</w:t>
      </w:r>
      <w:r w:rsidR="000B40D6">
        <w:rPr>
          <w:rFonts w:ascii="仿宋_GB2312" w:eastAsia="仿宋_GB2312" w:hAnsi="Times New Roman" w:hint="eastAsia"/>
          <w:sz w:val="32"/>
          <w:szCs w:val="32"/>
        </w:rPr>
        <w:t>一</w:t>
      </w:r>
      <w:r>
        <w:rPr>
          <w:rFonts w:ascii="仿宋_GB2312" w:eastAsia="仿宋_GB2312" w:hAnsi="Times New Roman" w:hint="eastAsia"/>
          <w:sz w:val="32"/>
          <w:szCs w:val="32"/>
        </w:rPr>
        <w:t>）重点“小巨人”企业应严格按照奖补资金规定，建立专项资金使用账户，确保奖补资金专款专用；并定期向市经济和信息化局报送资金使用情况和项目建设情况。</w:t>
      </w:r>
    </w:p>
    <w:p w14:paraId="7BD0C8CE" w14:textId="77777777" w:rsidR="002506B0" w:rsidRDefault="00000000" w:rsidP="002506B0">
      <w:pPr>
        <w:adjustRightInd w:val="0"/>
        <w:snapToGrid w:val="0"/>
        <w:spacing w:line="560" w:lineRule="exact"/>
        <w:ind w:firstLineChars="200" w:firstLine="652"/>
        <w:rPr>
          <w:rFonts w:ascii="仿宋_GB2312" w:eastAsia="仿宋_GB2312" w:hAnsi="Times New Roman"/>
          <w:sz w:val="32"/>
          <w:szCs w:val="32"/>
        </w:rPr>
      </w:pPr>
      <w:r>
        <w:rPr>
          <w:rFonts w:ascii="仿宋_GB2312" w:eastAsia="仿宋_GB2312" w:hAnsi="Times New Roman" w:hint="eastAsia"/>
          <w:sz w:val="32"/>
          <w:szCs w:val="32"/>
        </w:rPr>
        <w:t>（</w:t>
      </w:r>
      <w:r w:rsidR="000B40D6">
        <w:rPr>
          <w:rFonts w:ascii="仿宋_GB2312" w:eastAsia="仿宋_GB2312" w:hAnsi="Times New Roman" w:hint="eastAsia"/>
          <w:sz w:val="32"/>
          <w:szCs w:val="32"/>
        </w:rPr>
        <w:t>二</w:t>
      </w:r>
      <w:r>
        <w:rPr>
          <w:rFonts w:ascii="仿宋_GB2312" w:eastAsia="仿宋_GB2312" w:hAnsi="Times New Roman" w:hint="eastAsia"/>
          <w:sz w:val="32"/>
          <w:szCs w:val="32"/>
        </w:rPr>
        <w:t>）市经济和信息化局会同市财政局全过程监督奖补资金</w:t>
      </w:r>
      <w:r>
        <w:rPr>
          <w:rFonts w:ascii="仿宋_GB2312" w:eastAsia="仿宋_GB2312" w:hAnsi="Times New Roman" w:hint="eastAsia"/>
          <w:color w:val="000000"/>
          <w:sz w:val="32"/>
          <w:szCs w:val="32"/>
        </w:rPr>
        <w:t>到位和使用、项目实施、绩效完成等情况。对不配合监督检查、绩效管理以及</w:t>
      </w:r>
      <w:r>
        <w:rPr>
          <w:rFonts w:ascii="仿宋_GB2312" w:eastAsia="仿宋_GB2312" w:hAnsi="Times New Roman" w:hint="eastAsia"/>
          <w:sz w:val="32"/>
          <w:szCs w:val="32"/>
        </w:rPr>
        <w:t>推进计划投资总额未达2000万元的企业，市经济和信息化局、市财政局有权将资金收回。</w:t>
      </w:r>
    </w:p>
    <w:p w14:paraId="7DBAE7D4" w14:textId="5FC75CBD" w:rsidR="002506B0" w:rsidRPr="002506B0" w:rsidRDefault="002506B0" w:rsidP="002506B0">
      <w:pPr>
        <w:adjustRightInd w:val="0"/>
        <w:snapToGrid w:val="0"/>
        <w:spacing w:line="560" w:lineRule="exact"/>
        <w:ind w:firstLineChars="200" w:firstLine="652"/>
        <w:rPr>
          <w:rFonts w:ascii="黑体" w:eastAsia="黑体" w:hAnsi="黑体"/>
          <w:sz w:val="32"/>
          <w:szCs w:val="32"/>
        </w:rPr>
      </w:pPr>
      <w:r w:rsidRPr="002506B0">
        <w:rPr>
          <w:rFonts w:ascii="黑体" w:eastAsia="黑体" w:hAnsi="黑体" w:hint="eastAsia"/>
          <w:sz w:val="32"/>
          <w:szCs w:val="32"/>
        </w:rPr>
        <w:lastRenderedPageBreak/>
        <w:t>三、</w:t>
      </w:r>
      <w:r w:rsidR="00F373FC">
        <w:rPr>
          <w:rFonts w:ascii="黑体" w:eastAsia="黑体" w:hAnsi="黑体" w:hint="eastAsia"/>
          <w:sz w:val="32"/>
          <w:szCs w:val="32"/>
        </w:rPr>
        <w:t>资金分配情况</w:t>
      </w:r>
    </w:p>
    <w:p w14:paraId="556A7A0C" w14:textId="6031BEC4" w:rsidR="002506B0" w:rsidRPr="002506B0" w:rsidRDefault="002506B0" w:rsidP="002506B0">
      <w:pPr>
        <w:adjustRightInd w:val="0"/>
        <w:snapToGrid w:val="0"/>
        <w:spacing w:line="560" w:lineRule="exact"/>
        <w:ind w:firstLineChars="200" w:firstLine="652"/>
        <w:rPr>
          <w:rFonts w:ascii="仿宋_GB2312" w:eastAsia="仿宋_GB2312" w:hAnsi="Times New Roman" w:hint="eastAsia"/>
          <w:sz w:val="32"/>
          <w:szCs w:val="32"/>
        </w:rPr>
      </w:pPr>
      <w:r>
        <w:rPr>
          <w:rFonts w:ascii="仿宋_GB2312" w:eastAsia="仿宋_GB2312" w:hAnsi="Times New Roman" w:hint="eastAsia"/>
          <w:sz w:val="32"/>
          <w:szCs w:val="32"/>
        </w:rPr>
        <w:t>新一轮第一批重点“小巨人”企业高质量发展项目期初奖补资金拟</w:t>
      </w:r>
      <w:r w:rsidR="00FF6EBE">
        <w:rPr>
          <w:rFonts w:ascii="仿宋_GB2312" w:eastAsia="仿宋_GB2312" w:hAnsi="Times New Roman" w:hint="eastAsia"/>
          <w:sz w:val="32"/>
          <w:szCs w:val="32"/>
        </w:rPr>
        <w:t>对</w:t>
      </w:r>
      <w:r>
        <w:rPr>
          <w:rFonts w:ascii="仿宋_GB2312" w:eastAsia="仿宋_GB2312" w:hAnsi="Times New Roman" w:hint="eastAsia"/>
          <w:sz w:val="32"/>
          <w:szCs w:val="32"/>
        </w:rPr>
        <w:t>中铝材料应用研究院有限公司等15家A档企业、</w:t>
      </w:r>
      <w:r w:rsidRPr="002506B0">
        <w:rPr>
          <w:rFonts w:ascii="仿宋_GB2312" w:eastAsia="仿宋_GB2312" w:hAnsi="Times New Roman" w:hint="eastAsia"/>
          <w:sz w:val="32"/>
          <w:szCs w:val="32"/>
        </w:rPr>
        <w:t>新奥特（北京）视频技术有限公司</w:t>
      </w:r>
      <w:r>
        <w:rPr>
          <w:rFonts w:ascii="仿宋_GB2312" w:eastAsia="仿宋_GB2312" w:hAnsi="Times New Roman" w:hint="eastAsia"/>
          <w:sz w:val="32"/>
          <w:szCs w:val="32"/>
        </w:rPr>
        <w:t>等20家B档企业、</w:t>
      </w:r>
      <w:r w:rsidRPr="002506B0">
        <w:rPr>
          <w:rFonts w:ascii="仿宋_GB2312" w:eastAsia="仿宋_GB2312" w:hAnsi="Times New Roman" w:hint="eastAsia"/>
          <w:sz w:val="32"/>
          <w:szCs w:val="32"/>
        </w:rPr>
        <w:t>北京市射线应用研究中心有限公司</w:t>
      </w:r>
      <w:r>
        <w:rPr>
          <w:rFonts w:ascii="仿宋_GB2312" w:eastAsia="仿宋_GB2312" w:hAnsi="Times New Roman" w:hint="eastAsia"/>
          <w:sz w:val="32"/>
          <w:szCs w:val="32"/>
        </w:rPr>
        <w:t>等15家C档</w:t>
      </w:r>
      <w:r w:rsidR="00FF6EBE">
        <w:rPr>
          <w:rFonts w:ascii="仿宋_GB2312" w:eastAsia="仿宋_GB2312" w:hAnsi="Times New Roman" w:hint="eastAsia"/>
          <w:sz w:val="32"/>
          <w:szCs w:val="32"/>
        </w:rPr>
        <w:t>企业</w:t>
      </w:r>
      <w:r w:rsidR="009E0B98">
        <w:rPr>
          <w:rFonts w:ascii="仿宋_GB2312" w:eastAsia="仿宋_GB2312" w:hAnsi="Times New Roman" w:hint="eastAsia"/>
          <w:sz w:val="32"/>
          <w:szCs w:val="32"/>
        </w:rPr>
        <w:t>进行奖补</w:t>
      </w:r>
      <w:r>
        <w:rPr>
          <w:rFonts w:ascii="仿宋_GB2312" w:eastAsia="仿宋_GB2312" w:hAnsi="Times New Roman" w:hint="eastAsia"/>
          <w:sz w:val="32"/>
          <w:szCs w:val="32"/>
        </w:rPr>
        <w:t>，详情见附件。</w:t>
      </w:r>
    </w:p>
    <w:p w14:paraId="3D4BC642" w14:textId="77777777" w:rsidR="00DC6808" w:rsidRDefault="00DC6808" w:rsidP="00DC6808">
      <w:pPr>
        <w:adjustRightInd w:val="0"/>
        <w:snapToGrid w:val="0"/>
        <w:spacing w:line="560" w:lineRule="exact"/>
        <w:rPr>
          <w:rFonts w:ascii="仿宋_GB2312" w:eastAsia="仿宋_GB2312" w:hAnsi="Times New Roman"/>
          <w:sz w:val="32"/>
          <w:szCs w:val="32"/>
        </w:rPr>
      </w:pPr>
    </w:p>
    <w:p w14:paraId="1D06EFA9" w14:textId="77777777" w:rsidR="00DC6808" w:rsidRDefault="00000000" w:rsidP="00DC6808">
      <w:pPr>
        <w:adjustRightInd w:val="0"/>
        <w:snapToGrid w:val="0"/>
        <w:spacing w:line="560" w:lineRule="exact"/>
        <w:ind w:firstLineChars="200" w:firstLine="652"/>
        <w:rPr>
          <w:rFonts w:ascii="仿宋_GB2312" w:eastAsia="仿宋_GB2312" w:hAnsi="Times New Roman"/>
          <w:sz w:val="32"/>
          <w:szCs w:val="32"/>
        </w:rPr>
      </w:pPr>
      <w:r>
        <w:rPr>
          <w:rFonts w:ascii="仿宋_GB2312" w:eastAsia="仿宋_GB2312" w:hAnsi="Times New Roman" w:hint="eastAsia"/>
          <w:sz w:val="32"/>
          <w:szCs w:val="32"/>
        </w:rPr>
        <w:t>附件：北京市新一轮第一批重点“小巨人”企业高质量发</w:t>
      </w:r>
    </w:p>
    <w:p w14:paraId="4402B658" w14:textId="1F01A440" w:rsidR="00C87667" w:rsidRDefault="00000000" w:rsidP="00DC6808">
      <w:pPr>
        <w:adjustRightInd w:val="0"/>
        <w:snapToGrid w:val="0"/>
        <w:spacing w:line="560" w:lineRule="exact"/>
        <w:ind w:firstLineChars="500" w:firstLine="1630"/>
        <w:rPr>
          <w:rFonts w:ascii="仿宋_GB2312" w:eastAsia="仿宋_GB2312" w:hAnsi="Times New Roman"/>
          <w:sz w:val="32"/>
          <w:szCs w:val="32"/>
        </w:rPr>
      </w:pPr>
      <w:r>
        <w:rPr>
          <w:rFonts w:ascii="仿宋_GB2312" w:eastAsia="仿宋_GB2312" w:hAnsi="Times New Roman" w:hint="eastAsia"/>
          <w:sz w:val="32"/>
          <w:szCs w:val="32"/>
        </w:rPr>
        <w:t>展项目期初奖补资金分配表</w:t>
      </w:r>
    </w:p>
    <w:p w14:paraId="5E83FA85" w14:textId="77777777" w:rsidR="00DF4F21" w:rsidRDefault="00DF4F21">
      <w:pPr>
        <w:widowControl/>
        <w:jc w:val="left"/>
        <w:rPr>
          <w:rFonts w:ascii="仿宋_GB2312" w:eastAsia="仿宋_GB2312" w:hAnsi="Times New Roman"/>
          <w:sz w:val="32"/>
          <w:szCs w:val="32"/>
        </w:rPr>
      </w:pPr>
      <w:r>
        <w:rPr>
          <w:rFonts w:ascii="仿宋_GB2312" w:eastAsia="仿宋_GB2312" w:hAnsi="Times New Roman"/>
          <w:sz w:val="32"/>
          <w:szCs w:val="32"/>
        </w:rPr>
        <w:br w:type="page"/>
      </w:r>
    </w:p>
    <w:p w14:paraId="3CCBAAF2" w14:textId="33765ABE" w:rsidR="00C87667" w:rsidRDefault="00000000">
      <w:pPr>
        <w:spacing w:line="560" w:lineRule="exact"/>
        <w:jc w:val="left"/>
        <w:outlineLvl w:val="0"/>
        <w:rPr>
          <w:rFonts w:ascii="宋体" w:eastAsia="黑体" w:hAnsi="宋体" w:hint="eastAsia"/>
          <w:bCs/>
          <w:kern w:val="44"/>
          <w:sz w:val="32"/>
          <w:szCs w:val="48"/>
        </w:rPr>
      </w:pPr>
      <w:r>
        <w:rPr>
          <w:rFonts w:ascii="宋体" w:eastAsia="黑体" w:hAnsi="宋体" w:hint="eastAsia"/>
          <w:bCs/>
          <w:kern w:val="44"/>
          <w:sz w:val="32"/>
          <w:szCs w:val="48"/>
        </w:rPr>
        <w:lastRenderedPageBreak/>
        <w:t>附件</w:t>
      </w:r>
    </w:p>
    <w:p w14:paraId="63A525A2" w14:textId="77777777" w:rsidR="00C87667" w:rsidRDefault="00C87667">
      <w:pPr>
        <w:pStyle w:val="a0"/>
      </w:pPr>
    </w:p>
    <w:p w14:paraId="243279A7" w14:textId="77777777" w:rsidR="00C87667" w:rsidRDefault="00000000">
      <w:pPr>
        <w:spacing w:line="560" w:lineRule="exact"/>
        <w:ind w:left="64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北京市新一轮第一批重点“小巨人”企业</w:t>
      </w:r>
    </w:p>
    <w:p w14:paraId="6C69D69C" w14:textId="77777777" w:rsidR="00C87667" w:rsidRDefault="00000000">
      <w:pPr>
        <w:spacing w:line="560" w:lineRule="exact"/>
        <w:ind w:left="64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高质量发展项目期初奖补资金分配表</w:t>
      </w:r>
    </w:p>
    <w:p w14:paraId="159D9869" w14:textId="77777777" w:rsidR="00601707" w:rsidRPr="00601707" w:rsidRDefault="00601707" w:rsidP="00601707">
      <w:pPr>
        <w:pStyle w:val="a0"/>
        <w:rPr>
          <w:rFonts w:hint="eastAsia"/>
        </w:rPr>
      </w:pPr>
    </w:p>
    <w:tbl>
      <w:tblPr>
        <w:tblW w:w="5112" w:type="pct"/>
        <w:jc w:val="center"/>
        <w:tblLook w:val="04A0" w:firstRow="1" w:lastRow="0" w:firstColumn="1" w:lastColumn="0" w:noHBand="0" w:noVBand="1"/>
      </w:tblPr>
      <w:tblGrid>
        <w:gridCol w:w="1090"/>
        <w:gridCol w:w="4719"/>
        <w:gridCol w:w="873"/>
        <w:gridCol w:w="2581"/>
      </w:tblGrid>
      <w:tr w:rsidR="00601707" w14:paraId="1CC2E8FD" w14:textId="77777777" w:rsidTr="00601707">
        <w:trPr>
          <w:trHeight w:val="454"/>
          <w:tblHeader/>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0B97C" w14:textId="77777777" w:rsidR="00601707" w:rsidRDefault="00601707" w:rsidP="001F07A0">
            <w:pPr>
              <w:widowControl/>
              <w:adjustRightInd w:val="0"/>
              <w:snapToGrid w:val="0"/>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88CF5" w14:textId="77777777" w:rsidR="00601707" w:rsidRDefault="00601707" w:rsidP="001F07A0">
            <w:pPr>
              <w:widowControl/>
              <w:adjustRightInd w:val="0"/>
              <w:snapToGrid w:val="0"/>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企业名称</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474B5" w14:textId="77777777" w:rsidR="00601707" w:rsidRDefault="00601707" w:rsidP="001F07A0">
            <w:pPr>
              <w:widowControl/>
              <w:adjustRightInd w:val="0"/>
              <w:snapToGrid w:val="0"/>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分档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E3E8F" w14:textId="77777777" w:rsidR="00601707" w:rsidRDefault="00601707" w:rsidP="001F07A0">
            <w:pPr>
              <w:widowControl/>
              <w:adjustRightInd w:val="0"/>
              <w:snapToGrid w:val="0"/>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奖补金额（万元）</w:t>
            </w:r>
          </w:p>
        </w:tc>
      </w:tr>
      <w:tr w:rsidR="00601707" w14:paraId="5F21B00D"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1011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468C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中铝材料应用研究院有限公司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4CA2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BF98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444088C0"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BB91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77F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北京博鲁斯潘精密机床有限公司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AE2F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2011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467E25CE"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B0CD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8347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北京海博思创科技股份有限公司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1F1C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547B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0FE00494"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D2B3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100C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北京紫光青藤微系统有限公司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8AE7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AA81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394698CC"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C636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5</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E44C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中科星睿科技（北京）有限公司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06DE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48C4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042A3A1D"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0A08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A38E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北京卓翼智能科技有限公司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5A6B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8DE0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3DD8EC7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42B4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7</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CF3D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北京津发科技股份有限公司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48AE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09D8D" w14:textId="77777777" w:rsidR="00601707" w:rsidRDefault="00601707" w:rsidP="001F07A0">
            <w:pPr>
              <w:widowControl/>
              <w:adjustRightInd w:val="0"/>
              <w:snapToGrid w:val="0"/>
              <w:jc w:val="center"/>
              <w:textAlignment w:val="center"/>
            </w:pPr>
            <w:r>
              <w:rPr>
                <w:rFonts w:ascii="宋体" w:hAnsi="宋体" w:cs="宋体" w:hint="eastAsia"/>
                <w:color w:val="000000"/>
                <w:kern w:val="0"/>
                <w:sz w:val="24"/>
                <w:lang w:bidi="ar"/>
              </w:rPr>
              <w:t>300</w:t>
            </w:r>
          </w:p>
        </w:tc>
      </w:tr>
      <w:tr w:rsidR="00601707" w14:paraId="3B4C244A"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4343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8</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441E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北京北方华创真空技术有限公司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0200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A0E8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45190A5B"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FD2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9</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4ABF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为准（北京）电子科技有限公司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5103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D169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3F74E5CE"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F1AE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10</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8D61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北京珞安科技有限责任公司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9B15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CB3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525EAAE0"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0EE1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11</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AFBE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融硅思创（北京）科技有限公司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E264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E870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2B3D75C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27F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12</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031B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北京星云互联科技有限公司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FB3B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E277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7B6C9124"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BE97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13</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897C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北京海普瑞森超精密技术有限公司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4936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6A60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3223F9E8"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9052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14</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81C7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数盾信息科技股份有限公司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8AC8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0038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229757CB"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712A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15</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41EB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江南信安（北京）科技有限公司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AF7D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A档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3F1F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300</w:t>
            </w:r>
          </w:p>
        </w:tc>
      </w:tr>
      <w:tr w:rsidR="00601707" w14:paraId="3ACB4809"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FDB4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16</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B955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新奥特（北京）视频技术有限公司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D426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9902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0D9AA97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7596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17</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CF5D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北京百瑞互联技术股份有限公司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F3E6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8AE7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7E02CC67"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3C24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18</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FD56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中电智能科技有限公司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BE86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F9E2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4775427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878E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19</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284D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安世亚太科技股份有限公司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F06E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944E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41DD2042"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37BF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20</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7771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北京中科新微特科技开发股份有限公司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93D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6FEE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79D293A2"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B5D1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21</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E2DE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北京迪蒙数控技术有限责任公司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3601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936A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0311668C"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6AE8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22</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600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北京九天利建信息技术股份有限公司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EE71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3DCF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56784EAB"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7C8C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23</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E2B7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国能信控技术股份有限公司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5AB3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7933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33F393F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E93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24</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5967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北京力控元通科技有限公司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9D82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70FB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3A845EEA"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0171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25</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2953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北京博清科技有限公司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319E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4775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0E8523C4"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A03F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26</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6BCB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北京燕东微电子科技有限公司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3D70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E4BF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3327B730"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9D24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57B0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北京普凡防护科技股份有限公司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CEDE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0235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334ED92E"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B815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D6BF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华科精准（北京）医疗设备股份有限公司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518D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6A5A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20501620"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E92C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29</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29B3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北京卓镭激光技术有限公司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85CA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8235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7376DB82"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D7D7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30</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37F7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北京众绘虚拟现实技术研究院有限公司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E09B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88E4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6C7C57FF"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0008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31</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180C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北京远舢智能科技有限公司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6398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A6EE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56BBCD65"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8BC8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32</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69B9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北京鼎材科技有限公司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B70A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E9D0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7E6BEE83"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3751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33</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F74D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北京科杰科技有限公司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2C15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E60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4808AD3B"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A127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34</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3819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北京卓越信通电子股份有限公司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FBC0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D0C2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774FC50A"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A819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35</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A001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北京大成国测科技股份有限公司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2D085"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B档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6477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285</w:t>
            </w:r>
          </w:p>
        </w:tc>
      </w:tr>
      <w:tr w:rsidR="00601707" w14:paraId="383F621D"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70EA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36</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A575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北京市射线应用研究中心有限公司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483C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17DA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21E312C3"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3CD9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37</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24E7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北京清微智能科技有限公司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982A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5FC7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2D6E4101"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378C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38</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AED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北京易捷思达科技发展有限公司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8E5D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729D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5F3F41A4"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099E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39</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D2B4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北京创新爱尚家科技股份有限公司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12BA9"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4E48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6A91460E"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6186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40</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4045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北京芯驰半导体科技股份有限公司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8137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E9D9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770A8C19"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85D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41</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1560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互联网域名系统北京市工程研究中心有限公司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D8C0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2BC3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683376FA"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D954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42</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51B9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北京首钢朗泽科技股份有限公司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126D0"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AA5B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20A67F1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84271"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43</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9B8E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高拓讯达（北京）微电子股份有限公司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827B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7E26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47A169DE"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642C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44</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1C1B0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钢研昊普科技有限公司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5B81D"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2D8E"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26909598"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735D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45</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9BB9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超云数字技术集团有限公司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F8AE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302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497DE201"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7AAC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46</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E935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中交星宇科技有限公司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59A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74EFB"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3C7E0483"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40CB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47</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8A5D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北京高新利华科技股份有限公司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F0F88"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B9DC"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0A8D9458"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FFC64"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48</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26A42"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昂坤视觉（北京）科技有限公司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4F5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70BD3"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7A0F8F90"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09CA7"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49</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6A4B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北京国网电力技术股份有限公司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99F46"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335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r w:rsidR="00601707" w14:paraId="1FA34306" w14:textId="77777777" w:rsidTr="00601707">
        <w:trPr>
          <w:trHeight w:val="454"/>
          <w:jc w:val="center"/>
        </w:trPr>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36F2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50</w:t>
            </w:r>
          </w:p>
        </w:tc>
        <w:tc>
          <w:tcPr>
            <w:tcW w:w="2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C6EC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北京七一八友晟电子有限公司</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B8CA"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C档</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5030F" w14:textId="77777777" w:rsidR="00601707" w:rsidRDefault="00601707" w:rsidP="001F07A0">
            <w:pPr>
              <w:widowControl/>
              <w:adjustRightInd w:val="0"/>
              <w:snapToGrid w:val="0"/>
              <w:jc w:val="center"/>
              <w:textAlignment w:val="center"/>
              <w:rPr>
                <w:rFonts w:ascii="宋体" w:hAnsi="宋体" w:cs="宋体" w:hint="eastAsia"/>
                <w:color w:val="000000"/>
                <w:sz w:val="24"/>
              </w:rPr>
            </w:pPr>
            <w:r>
              <w:rPr>
                <w:rFonts w:ascii="宋体" w:hAnsi="宋体" w:cs="宋体" w:hint="eastAsia"/>
                <w:color w:val="000000"/>
                <w:kern w:val="0"/>
                <w:sz w:val="24"/>
                <w:lang w:bidi="ar"/>
              </w:rPr>
              <w:t>270</w:t>
            </w:r>
          </w:p>
        </w:tc>
      </w:tr>
    </w:tbl>
    <w:p w14:paraId="4A651202" w14:textId="77777777" w:rsidR="00601707" w:rsidRPr="00601707" w:rsidRDefault="00601707" w:rsidP="00601707">
      <w:pPr>
        <w:pStyle w:val="a0"/>
        <w:rPr>
          <w:rFonts w:hint="eastAsia"/>
        </w:rPr>
      </w:pPr>
    </w:p>
    <w:sectPr w:rsidR="00601707" w:rsidRPr="00601707">
      <w:pgSz w:w="11906" w:h="16838"/>
      <w:pgMar w:top="1962" w:right="1474" w:bottom="1848" w:left="1588" w:header="851" w:footer="578" w:gutter="0"/>
      <w:cols w:space="0"/>
      <w:titlePg/>
      <w:docGrid w:type="linesAndChars" w:linePitch="59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E0D41" w14:textId="77777777" w:rsidR="00A76F61" w:rsidRDefault="00A76F61" w:rsidP="00DF4F21">
      <w:r>
        <w:separator/>
      </w:r>
    </w:p>
  </w:endnote>
  <w:endnote w:type="continuationSeparator" w:id="0">
    <w:p w14:paraId="4A46C9A8" w14:textId="77777777" w:rsidR="00A76F61" w:rsidRDefault="00A76F61" w:rsidP="00DF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D09E" w14:textId="77777777" w:rsidR="00A76F61" w:rsidRDefault="00A76F61" w:rsidP="00DF4F21">
      <w:r>
        <w:separator/>
      </w:r>
    </w:p>
  </w:footnote>
  <w:footnote w:type="continuationSeparator" w:id="0">
    <w:p w14:paraId="02F4D790" w14:textId="77777777" w:rsidR="00A76F61" w:rsidRDefault="00A76F61" w:rsidP="00DF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evenAndOddHeaders/>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BC0638"/>
    <w:rsid w:val="000B40D6"/>
    <w:rsid w:val="00114A51"/>
    <w:rsid w:val="002506B0"/>
    <w:rsid w:val="00377401"/>
    <w:rsid w:val="0045307D"/>
    <w:rsid w:val="00601707"/>
    <w:rsid w:val="006B35FA"/>
    <w:rsid w:val="00730941"/>
    <w:rsid w:val="007754CE"/>
    <w:rsid w:val="009E0B98"/>
    <w:rsid w:val="00A76F61"/>
    <w:rsid w:val="00C82DB2"/>
    <w:rsid w:val="00C87667"/>
    <w:rsid w:val="00C926FE"/>
    <w:rsid w:val="00DC6808"/>
    <w:rsid w:val="00DF38B9"/>
    <w:rsid w:val="00DF4F21"/>
    <w:rsid w:val="00F2164A"/>
    <w:rsid w:val="00F373FC"/>
    <w:rsid w:val="00FF6EBE"/>
    <w:rsid w:val="2948705F"/>
    <w:rsid w:val="32BC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C9710"/>
  <w15:docId w15:val="{59C3B124-A957-45CE-8BEA-E17163C3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rPr>
      <w:rFonts w:ascii="华文新魏" w:eastAsia="华文新魏" w:hAnsi="Times New Roman"/>
      <w:sz w:val="36"/>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header"/>
    <w:basedOn w:val="a"/>
    <w:link w:val="a6"/>
    <w:rsid w:val="00DF4F21"/>
    <w:pPr>
      <w:tabs>
        <w:tab w:val="center" w:pos="4153"/>
        <w:tab w:val="right" w:pos="8306"/>
      </w:tabs>
      <w:snapToGrid w:val="0"/>
      <w:jc w:val="center"/>
    </w:pPr>
    <w:rPr>
      <w:sz w:val="18"/>
      <w:szCs w:val="18"/>
    </w:rPr>
  </w:style>
  <w:style w:type="character" w:customStyle="1" w:styleId="a6">
    <w:name w:val="页眉 字符"/>
    <w:basedOn w:val="a1"/>
    <w:link w:val="a5"/>
    <w:rsid w:val="00DF4F21"/>
    <w:rPr>
      <w:rFonts w:ascii="Calibri" w:eastAsia="宋体" w:hAnsi="Calibri" w:cs="Times New Roman"/>
      <w:kern w:val="2"/>
      <w:sz w:val="18"/>
      <w:szCs w:val="18"/>
    </w:rPr>
  </w:style>
  <w:style w:type="paragraph" w:styleId="a7">
    <w:name w:val="footer"/>
    <w:basedOn w:val="a"/>
    <w:link w:val="a8"/>
    <w:rsid w:val="00DF4F21"/>
    <w:pPr>
      <w:tabs>
        <w:tab w:val="center" w:pos="4153"/>
        <w:tab w:val="right" w:pos="8306"/>
      </w:tabs>
      <w:snapToGrid w:val="0"/>
      <w:jc w:val="left"/>
    </w:pPr>
    <w:rPr>
      <w:sz w:val="18"/>
      <w:szCs w:val="18"/>
    </w:rPr>
  </w:style>
  <w:style w:type="character" w:customStyle="1" w:styleId="a8">
    <w:name w:val="页脚 字符"/>
    <w:basedOn w:val="a1"/>
    <w:link w:val="a7"/>
    <w:rsid w:val="00DF4F2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WPS_1690420078</dc:creator>
  <cp:lastModifiedBy>云舒 张</cp:lastModifiedBy>
  <cp:revision>16</cp:revision>
  <cp:lastPrinted>2024-12-11T10:53:00Z</cp:lastPrinted>
  <dcterms:created xsi:type="dcterms:W3CDTF">2024-12-10T09:00:00Z</dcterms:created>
  <dcterms:modified xsi:type="dcterms:W3CDTF">2024-12-11T11:24:00Z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4E9CE760C6504A9B8530F99A1E662394_11</vt:lpwstr>
  </property>
</Properties>
</file>