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北京市“专精特新”融资意向信息征集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内容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（供参阅，实际请登录如下链接进行填报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instrText xml:space="preserve"> HYPERLINK "https://jinshuju.net/f/v0SPOU"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https://jinshuju.net/f/v0SPOU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1、企业名称：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2、企业成立时间（年月）：</w:t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3、统一信用社会代码：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4、实际办公地址：</w:t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5、财务（融资）负责人姓名、</w:t>
      </w:r>
      <w:r>
        <w:rPr>
          <w:rFonts w:hint="default"/>
          <w:lang w:eastAsia="zh-CN"/>
        </w:rPr>
        <w:t>融资业务</w:t>
      </w:r>
      <w:r>
        <w:rPr>
          <w:rFonts w:hint="default"/>
          <w:lang w:val="en-US" w:eastAsia="zh-CN"/>
        </w:rPr>
        <w:t>联络人姓名：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6、财务（融资）负责人手机号、</w:t>
      </w:r>
      <w:r>
        <w:rPr>
          <w:rFonts w:hint="default"/>
          <w:lang w:eastAsia="zh-CN"/>
        </w:rPr>
        <w:t>融资业务</w:t>
      </w:r>
      <w:r>
        <w:rPr>
          <w:rFonts w:hint="default"/>
          <w:lang w:val="en-US" w:eastAsia="zh-CN"/>
        </w:rPr>
        <w:t>联络人手机号：</w:t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7、企业所属行业：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eastAsia="zh-CN"/>
        </w:rPr>
        <w:t xml:space="preserve">   </w:t>
      </w:r>
      <w:r>
        <w:rPr>
          <w:rFonts w:hint="default"/>
          <w:lang w:val="en-US" w:eastAsia="zh-CN"/>
        </w:rPr>
        <w:t>新兴软件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集成电路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医药健康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高端装备与智能装备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eastAsia="zh-CN"/>
        </w:rPr>
        <w:t xml:space="preserve">   </w:t>
      </w:r>
      <w:r>
        <w:rPr>
          <w:rFonts w:hint="default"/>
          <w:lang w:val="en-US" w:eastAsia="zh-CN"/>
        </w:rPr>
        <w:t>节能环保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智能网联汽车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新材料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人工智能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eastAsia="zh-CN"/>
        </w:rPr>
        <w:t xml:space="preserve">   </w:t>
      </w:r>
      <w:r>
        <w:rPr>
          <w:rFonts w:hint="default"/>
          <w:lang w:val="en-US" w:eastAsia="zh-CN"/>
        </w:rPr>
        <w:t>大数据与云计算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科技服</w:t>
      </w:r>
      <w:bookmarkStart w:id="0" w:name="_GoBack"/>
      <w:bookmarkEnd w:id="0"/>
      <w:r>
        <w:rPr>
          <w:rFonts w:hint="default"/>
          <w:lang w:val="en-US" w:eastAsia="zh-CN"/>
        </w:rPr>
        <w:t>务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信息技术与信息安全</w:t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eastAsia="zh-CN"/>
        </w:rPr>
        <w:t xml:space="preserve">   </w:t>
      </w:r>
      <w:r>
        <w:rPr>
          <w:rFonts w:hint="default"/>
          <w:lang w:val="en-US" w:eastAsia="zh-CN"/>
        </w:rPr>
        <w:t>生物行业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新能源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数字文化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工业互联网</w:t>
      </w:r>
      <w:r>
        <w:rPr>
          <w:rFonts w:hint="default"/>
          <w:lang w:eastAsia="zh-CN"/>
        </w:rPr>
        <w:t xml:space="preserve">  </w:t>
      </w:r>
      <w:r>
        <w:rPr>
          <w:rFonts w:hint="default"/>
          <w:lang w:val="en-US" w:eastAsia="zh-CN"/>
        </w:rPr>
        <w:t>其他行业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8、企业核心产品或服务：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9、企业获得资质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eastAsia="zh-CN"/>
        </w:rPr>
        <w:t xml:space="preserve">   </w:t>
      </w:r>
      <w:r>
        <w:rPr>
          <w:rFonts w:hint="default"/>
          <w:lang w:val="en-US" w:eastAsia="zh-CN"/>
        </w:rPr>
        <w:t>北京市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专精特新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中小企业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北京市专精特新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小巨人</w:t>
      </w:r>
      <w:r>
        <w:rPr>
          <w:rFonts w:hint="eastAsia"/>
          <w:lang w:val="en-US" w:eastAsia="zh-CN"/>
        </w:rPr>
        <w:t>”、</w:t>
      </w:r>
      <w:r>
        <w:rPr>
          <w:rFonts w:hint="default"/>
          <w:lang w:val="en-US" w:eastAsia="zh-CN"/>
        </w:rPr>
        <w:t>国家级专精特新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小巨人</w:t>
      </w:r>
      <w:r>
        <w:rPr>
          <w:rFonts w:hint="eastAsia"/>
          <w:lang w:val="en-US" w:eastAsia="zh-CN"/>
        </w:rPr>
        <w:t>”、</w:t>
      </w:r>
      <w:r>
        <w:rPr>
          <w:rFonts w:hint="default"/>
          <w:lang w:val="en-US" w:eastAsia="zh-CN"/>
        </w:rPr>
        <w:t>国家制造业单项冠军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北京市隐形冠军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10、2021年营业收入、净利润、经营性现金流量净额（万元）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11、2021年营业收入、净利润、经营性现金流量净额（万元）</w:t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12、企业倾向的融资方式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default"/>
          <w:lang w:val="en-US" w:eastAsia="zh-CN"/>
        </w:rPr>
        <w:t>银行贷款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股权融资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融资租赁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发行资产证券化产品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商业保理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小贷公司借款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直接发行债券（交易所、交易商协会、中证报价）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13、计划贷款融资金额（万元）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14、是否为首次贷款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是            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15、计划股权融资金额（万元）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16、是否为首次股权融资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是            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17、企业对于相关融资服务工作的建议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M2NjA2Nzg1NDk5MTgyNDBjZjQyZmI5Nzc2YjkifQ=="/>
  </w:docVars>
  <w:rsids>
    <w:rsidRoot w:val="4A1947CF"/>
    <w:rsid w:val="1633644C"/>
    <w:rsid w:val="4A1947CF"/>
    <w:rsid w:val="74A215D5"/>
    <w:rsid w:val="7B2E6134"/>
    <w:rsid w:val="7B9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宋体"/>
      <w:sz w:val="28"/>
      <w:szCs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Yuan Lin</cp:lastModifiedBy>
  <dcterms:modified xsi:type="dcterms:W3CDTF">2023-08-14T07:20:21Z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B86E3EE35D004B5B8F21835A591125BC_12</vt:lpwstr>
  </property>
  <property fmtid="{D5CDD505-2E9C-101B-9397-08002B2CF9AE}" pid="4" name="BD_Document_Page_Count">
    <vt:lpwstr>2</vt:lpwstr>
  </property>
</Properties>
</file>