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Theme="minorEastAsia"/>
          <w:b/>
          <w:color w:val="0000FF"/>
          <w:sz w:val="44"/>
          <w:szCs w:val="44"/>
          <w:lang w:val="en-US" w:eastAsia="zh-CN"/>
        </w:rPr>
      </w:pPr>
      <w:r>
        <w:rPr>
          <w:rFonts w:hint="eastAsia"/>
          <w:b/>
          <w:color w:val="0000FF"/>
          <w:sz w:val="44"/>
          <w:szCs w:val="44"/>
          <w:lang w:eastAsia="zh-CN"/>
        </w:rPr>
        <w:t>鲁工信绿发【</w:t>
      </w:r>
      <w:r>
        <w:rPr>
          <w:rFonts w:hint="eastAsia"/>
          <w:b/>
          <w:color w:val="0000FF"/>
          <w:sz w:val="44"/>
          <w:szCs w:val="44"/>
          <w:lang w:val="en-US" w:eastAsia="zh-CN"/>
        </w:rPr>
        <w:t>2020</w:t>
      </w:r>
      <w:r>
        <w:rPr>
          <w:rFonts w:hint="eastAsia"/>
          <w:b/>
          <w:color w:val="0000FF"/>
          <w:sz w:val="44"/>
          <w:szCs w:val="44"/>
          <w:lang w:eastAsia="zh-CN"/>
        </w:rPr>
        <w:t>】</w:t>
      </w:r>
      <w:r>
        <w:rPr>
          <w:rFonts w:hint="eastAsia"/>
          <w:b/>
          <w:color w:val="0000FF"/>
          <w:sz w:val="44"/>
          <w:szCs w:val="44"/>
          <w:lang w:val="en-US" w:eastAsia="zh-CN"/>
        </w:rPr>
        <w:t>24号</w:t>
      </w:r>
    </w:p>
    <w:p>
      <w:pPr>
        <w:jc w:val="center"/>
        <w:rPr>
          <w:b/>
          <w:sz w:val="44"/>
          <w:szCs w:val="44"/>
        </w:rPr>
      </w:pPr>
    </w:p>
    <w:p>
      <w:pPr>
        <w:jc w:val="center"/>
        <w:rPr>
          <w:rFonts w:hint="eastAsia"/>
          <w:b/>
          <w:sz w:val="44"/>
          <w:szCs w:val="44"/>
        </w:rPr>
      </w:pPr>
      <w:r>
        <w:rPr>
          <w:rFonts w:hint="eastAsia"/>
          <w:b/>
          <w:sz w:val="44"/>
          <w:szCs w:val="44"/>
        </w:rPr>
        <w:t>关于上报国家重大工业专项</w:t>
      </w:r>
    </w:p>
    <w:p>
      <w:pPr>
        <w:jc w:val="center"/>
        <w:rPr>
          <w:rFonts w:hint="eastAsia"/>
          <w:b/>
          <w:sz w:val="44"/>
          <w:szCs w:val="44"/>
        </w:rPr>
      </w:pPr>
      <w:r>
        <w:rPr>
          <w:rFonts w:hint="eastAsia"/>
          <w:b/>
          <w:sz w:val="44"/>
          <w:szCs w:val="44"/>
        </w:rPr>
        <w:t>节能监察企业的通知</w:t>
      </w:r>
    </w:p>
    <w:p>
      <w:pPr>
        <w:rPr>
          <w:rFonts w:ascii="仿宋" w:hAnsi="仿宋" w:eastAsia="仿宋"/>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各市工业和信息化局、发展和改革</w:t>
      </w:r>
      <w:r>
        <w:rPr>
          <w:rFonts w:hint="eastAsia"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（能源局），有关负责节能监察执法单位：</w:t>
      </w:r>
      <w:bookmarkStart w:id="0" w:name="_GoBack"/>
      <w:bookmarkEnd w:id="0"/>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根据国家工业和信息化部《2020年工业节能监察重点工作计划》部署要求，我省将安排部署工业节能监察工作任务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为保证工作针对性和有效性，请各市根据当地实际情况，上报2020年国家重大工业节能监察企业名单。有关事项通知如下：</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一、重点高耗能行业能耗专项监察</w:t>
      </w:r>
      <w:r>
        <w:rPr>
          <w:rFonts w:hint="eastAsia" w:ascii="黑体" w:hAnsi="黑体" w:eastAsia="黑体" w:cs="黑体"/>
          <w:sz w:val="32"/>
          <w:szCs w:val="32"/>
        </w:rPr>
        <w:t>。</w:t>
      </w:r>
      <w:r>
        <w:rPr>
          <w:rFonts w:hint="eastAsia" w:ascii="黑体" w:hAnsi="黑体" w:eastAsia="黑体" w:cs="黑体"/>
          <w:sz w:val="32"/>
          <w:szCs w:val="32"/>
          <w:lang w:eastAsia="zh-CN"/>
        </w:rPr>
        <w:t>重点上报</w:t>
      </w:r>
      <w:r>
        <w:rPr>
          <w:rFonts w:hint="default" w:ascii="Times New Roman" w:hAnsi="Times New Roman" w:eastAsia="仿宋_GB2312" w:cs="Times New Roman"/>
          <w:sz w:val="32"/>
          <w:szCs w:val="32"/>
        </w:rPr>
        <w:t>炼油、</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二甲苯、纯碱、聚氯乙烯、硫酸、轮胎、甲醇等石化化工行业，金冶炼、稀土冶炼加工、铝合金、铜及铜合金加工等有色金属行业，建筑石膏、烧结墙体材料、沥青基防水卷材、岩棉、矿渣棉及其制品等建材行业，糖、啤酒等轻工行业</w:t>
      </w:r>
      <w:r>
        <w:rPr>
          <w:rFonts w:hint="eastAsia" w:ascii="Times New Roman" w:hAnsi="Times New Roman" w:eastAsia="仿宋_GB2312" w:cs="Times New Roman"/>
          <w:sz w:val="32"/>
          <w:szCs w:val="32"/>
          <w:lang w:eastAsia="zh-CN"/>
        </w:rPr>
        <w:t>的所有重点用能企业</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二、</w:t>
      </w:r>
      <w:r>
        <w:rPr>
          <w:rFonts w:hint="default" w:ascii="黑体" w:hAnsi="黑体" w:eastAsia="黑体" w:cs="黑体"/>
          <w:sz w:val="32"/>
          <w:szCs w:val="32"/>
          <w:lang w:eastAsia="zh-CN"/>
        </w:rPr>
        <w:t>阶梯电价政策执行专项监察。</w:t>
      </w:r>
      <w:r>
        <w:rPr>
          <w:rFonts w:hint="default" w:ascii="Times New Roman" w:hAnsi="Times New Roman" w:eastAsia="仿宋_GB2312" w:cs="Times New Roman"/>
          <w:sz w:val="32"/>
          <w:szCs w:val="32"/>
        </w:rPr>
        <w:t>重点上报钢铁、电解铝、水泥企业中2019年监察发现的能耗超标违规企业以及能耗偏高的企业。</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三、</w:t>
      </w:r>
      <w:r>
        <w:rPr>
          <w:rFonts w:hint="default" w:ascii="黑体" w:hAnsi="黑体" w:eastAsia="黑体" w:cs="黑体"/>
          <w:sz w:val="32"/>
          <w:szCs w:val="32"/>
          <w:lang w:eastAsia="zh-CN"/>
        </w:rPr>
        <w:t>数据中心能效专项监察。</w:t>
      </w:r>
      <w:r>
        <w:rPr>
          <w:rFonts w:hint="default" w:ascii="Times New Roman" w:hAnsi="Times New Roman" w:eastAsia="仿宋_GB2312" w:cs="Times New Roman"/>
          <w:sz w:val="32"/>
          <w:szCs w:val="32"/>
        </w:rPr>
        <w:t>重点上报纳入重点用能单位管理的数据中心。</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四、</w:t>
      </w:r>
      <w:r>
        <w:rPr>
          <w:rFonts w:hint="default" w:ascii="黑体" w:hAnsi="黑体" w:eastAsia="黑体" w:cs="黑体"/>
          <w:sz w:val="32"/>
          <w:szCs w:val="32"/>
          <w:lang w:eastAsia="zh-CN"/>
        </w:rPr>
        <w:t>2019年违规企业整改落实情况专项监察。</w:t>
      </w:r>
      <w:r>
        <w:rPr>
          <w:rFonts w:hint="default" w:ascii="Times New Roman" w:hAnsi="Times New Roman" w:eastAsia="仿宋_GB2312" w:cs="Times New Roman"/>
          <w:sz w:val="32"/>
          <w:szCs w:val="32"/>
        </w:rPr>
        <w:t>上报2019年专项节能监察中发现的能耗超限额企业和其他违反节能法律法规的企业。</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五、</w:t>
      </w:r>
      <w:r>
        <w:rPr>
          <w:rFonts w:hint="default" w:ascii="黑体" w:hAnsi="黑体" w:eastAsia="黑体" w:cs="黑体"/>
          <w:sz w:val="32"/>
          <w:szCs w:val="32"/>
          <w:lang w:eastAsia="zh-CN"/>
        </w:rPr>
        <w:t>有关要求。</w:t>
      </w:r>
      <w:r>
        <w:rPr>
          <w:rFonts w:hint="default" w:ascii="Times New Roman" w:hAnsi="Times New Roman" w:eastAsia="仿宋_GB2312" w:cs="Times New Roman"/>
          <w:sz w:val="32"/>
          <w:szCs w:val="32"/>
        </w:rPr>
        <w:t>国家工信部《2020年工业节能监察重点工作计划》继续被列入国务院2020年综合督查重点工作事项，各市要高度重视，确保工作有效落实。2020年全省工业节能监察任务等企业名单报国家工信部备案后再统一安排部署。各市节能监察企业名单（附件1、2）请于</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日前上报指定邮箱。</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pPr>
        <w:numPr>
          <w:ilvl w:val="0"/>
          <w:numId w:val="1"/>
        </w:num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省工信厅绿色发展推进</w:t>
      </w:r>
      <w:r>
        <w:rPr>
          <w:rFonts w:hint="eastAsia" w:ascii="Times New Roman" w:hAnsi="Times New Roman" w:eastAsia="仿宋_GB2312" w:cs="Times New Roman"/>
          <w:sz w:val="32"/>
          <w:szCs w:val="32"/>
          <w:lang w:eastAsia="zh-CN"/>
        </w:rPr>
        <w:t>处</w:t>
      </w:r>
      <w:r>
        <w:rPr>
          <w:rFonts w:hint="default" w:ascii="Times New Roman" w:hAnsi="Times New Roman" w:eastAsia="仿宋_GB2312" w:cs="Times New Roman"/>
          <w:sz w:val="32"/>
          <w:szCs w:val="32"/>
        </w:rPr>
        <w:t xml:space="preserve"> 陈亮 电话：0531-86922065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"mailto:邮箱：15153129899@163.com" </w:instrText>
      </w:r>
      <w:r>
        <w:rPr>
          <w:rFonts w:hint="default" w:ascii="Times New Roman" w:hAnsi="Times New Roman" w:eastAsia="仿宋_GB2312" w:cs="Times New Roman"/>
          <w:sz w:val="32"/>
          <w:szCs w:val="32"/>
        </w:rPr>
        <w:fldChar w:fldCharType="separate"/>
      </w:r>
      <w:r>
        <w:rPr>
          <w:rStyle w:val="7"/>
          <w:rFonts w:hint="default" w:ascii="Times New Roman" w:hAnsi="Times New Roman" w:eastAsia="仿宋_GB2312" w:cs="Times New Roman"/>
          <w:color w:val="000000" w:themeColor="text1"/>
          <w:sz w:val="32"/>
          <w:szCs w:val="32"/>
          <w:u w:val="none"/>
          <w14:textFill>
            <w14:solidFill>
              <w14:schemeClr w14:val="tx1"/>
            </w14:solidFill>
          </w14:textFill>
        </w:rPr>
        <w:t>邮箱：15153129899@163.com</w:t>
      </w:r>
      <w:r>
        <w:rPr>
          <w:rStyle w:val="7"/>
          <w:rFonts w:hint="default" w:ascii="Times New Roman" w:hAnsi="Times New Roman" w:eastAsia="仿宋_GB2312" w:cs="Times New Roman"/>
          <w:color w:val="000000" w:themeColor="text1"/>
          <w:sz w:val="32"/>
          <w:szCs w:val="32"/>
          <w:u w:val="none"/>
          <w14:textFill>
            <w14:solidFill>
              <w14:schemeClr w14:val="tx1"/>
            </w14:solidFill>
          </w14:textFill>
        </w:rPr>
        <w:fldChar w:fldCharType="end"/>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省能源局执法监察局  </w:t>
      </w:r>
      <w:r>
        <w:rPr>
          <w:rFonts w:hint="eastAsia" w:ascii="Times New Roman" w:hAnsi="Times New Roman" w:eastAsia="仿宋_GB2312" w:cs="Times New Roman"/>
          <w:sz w:val="32"/>
          <w:szCs w:val="32"/>
          <w:lang w:eastAsia="zh-CN"/>
        </w:rPr>
        <w:t>代兵</w:t>
      </w:r>
      <w:r>
        <w:rPr>
          <w:rFonts w:hint="eastAsia" w:ascii="Times New Roman" w:hAnsi="Times New Roman" w:eastAsia="仿宋_GB2312" w:cs="Times New Roman"/>
          <w:sz w:val="32"/>
          <w:szCs w:val="32"/>
          <w:lang w:val="en-US" w:eastAsia="zh-CN"/>
        </w:rPr>
        <w:t xml:space="preserve"> 电话：0531-88930198</w:t>
      </w:r>
    </w:p>
    <w:p>
      <w:pPr>
        <w:numPr>
          <w:ilvl w:val="0"/>
          <w:numId w:val="0"/>
        </w:numPr>
        <w:ind w:left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___市国家重大工业专项节能监察任务汇总表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___市国家重大工业专项节能监察企业名单</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山东省工业和信息化厅            山东省能源局</w:t>
      </w:r>
    </w:p>
    <w:p>
      <w:pPr>
        <w:ind w:firstLine="4800" w:firstLineChars="1500"/>
        <w:rPr>
          <w:rFonts w:hint="default" w:ascii="Times New Roman" w:hAnsi="Times New Roman" w:eastAsia="仿宋_GB2312" w:cs="Times New Roman"/>
          <w:sz w:val="32"/>
          <w:szCs w:val="32"/>
        </w:rPr>
      </w:pPr>
    </w:p>
    <w:p>
      <w:pPr>
        <w:ind w:firstLine="5440" w:firstLineChars="1700"/>
        <w:rPr>
          <w:rFonts w:ascii="仿宋" w:hAnsi="仿宋" w:eastAsia="仿宋" w:cs="Times New Roman"/>
          <w:sz w:val="32"/>
          <w:szCs w:val="32"/>
        </w:rPr>
      </w:pPr>
      <w:r>
        <w:rPr>
          <w:rFonts w:hint="default" w:ascii="Times New Roman" w:hAnsi="Times New Roman" w:eastAsia="仿宋_GB2312" w:cs="Times New Roman"/>
          <w:sz w:val="32"/>
          <w:szCs w:val="32"/>
        </w:rPr>
        <w:t>2020年2</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pPr>
        <w:snapToGrid w:val="0"/>
        <w:spacing w:line="360" w:lineRule="auto"/>
        <w:rPr>
          <w:rFonts w:hint="eastAsia" w:ascii="黑体" w:hAnsi="黑体" w:eastAsia="黑体" w:cs="黑体"/>
          <w:sz w:val="32"/>
          <w:szCs w:val="32"/>
        </w:rPr>
      </w:pPr>
    </w:p>
    <w:p>
      <w:pPr>
        <w:snapToGrid w:val="0"/>
        <w:spacing w:line="360" w:lineRule="auto"/>
        <w:rPr>
          <w:rFonts w:hint="eastAsia" w:ascii="黑体" w:hAnsi="黑体" w:eastAsia="黑体" w:cs="黑体"/>
          <w:sz w:val="32"/>
          <w:szCs w:val="32"/>
        </w:rPr>
      </w:pPr>
      <w:r>
        <w:rPr>
          <w:rFonts w:hint="eastAsia" w:ascii="黑体" w:hAnsi="黑体" w:eastAsia="黑体" w:cs="黑体"/>
          <w:sz w:val="32"/>
          <w:szCs w:val="32"/>
        </w:rPr>
        <w:t>附件1</w:t>
      </w:r>
    </w:p>
    <w:p>
      <w:pPr>
        <w:snapToGrid w:val="0"/>
        <w:spacing w:line="360" w:lineRule="auto"/>
        <w:jc w:val="center"/>
        <w:rPr>
          <w:rFonts w:ascii="Times New Roman" w:hAnsi="Times New Roman" w:eastAsia="黑体" w:cs="Times New Roman"/>
          <w:sz w:val="36"/>
          <w:szCs w:val="36"/>
        </w:rPr>
      </w:pPr>
      <w:r>
        <w:rPr>
          <w:rFonts w:ascii="Times New Roman" w:hAnsi="Times New Roman" w:eastAsia="仿宋_GB2312" w:cs="Times New Roman"/>
          <w:sz w:val="36"/>
          <w:szCs w:val="36"/>
        </w:rPr>
        <w:t>____</w:t>
      </w:r>
      <w:r>
        <w:rPr>
          <w:rFonts w:ascii="Times New Roman" w:hAnsi="Times New Roman" w:eastAsia="黑体" w:cs="Times New Roman"/>
          <w:sz w:val="36"/>
          <w:szCs w:val="36"/>
        </w:rPr>
        <w:t>市国家重大工业专项节能监察任务汇总表</w:t>
      </w:r>
    </w:p>
    <w:p>
      <w:pPr>
        <w:snapToGrid w:val="0"/>
        <w:spacing w:line="360" w:lineRule="auto"/>
        <w:rPr>
          <w:rFonts w:cs="Times New Roman" w:asciiTheme="minorEastAsia" w:hAnsiTheme="minorEastAsia"/>
          <w:sz w:val="28"/>
          <w:szCs w:val="28"/>
        </w:rPr>
      </w:pPr>
      <w:r>
        <w:rPr>
          <w:rFonts w:hint="eastAsia" w:cs="Times New Roman" w:asciiTheme="minorEastAsia" w:hAnsiTheme="minorEastAsia"/>
          <w:sz w:val="28"/>
          <w:szCs w:val="28"/>
        </w:rPr>
        <w:t>上</w:t>
      </w:r>
      <w:r>
        <w:rPr>
          <w:rFonts w:cs="Times New Roman" w:asciiTheme="minorEastAsia" w:hAnsiTheme="minorEastAsia"/>
          <w:sz w:val="28"/>
          <w:szCs w:val="28"/>
        </w:rPr>
        <w:t>报单位：            （盖章）</w:t>
      </w:r>
    </w:p>
    <w:tbl>
      <w:tblPr>
        <w:tblStyle w:val="5"/>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142"/>
        <w:gridCol w:w="2551"/>
        <w:gridCol w:w="184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2" w:hRule="atLeast"/>
          <w:tblHeader/>
          <w:jc w:val="center"/>
        </w:trPr>
        <w:tc>
          <w:tcPr>
            <w:tcW w:w="2142"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专项</w:t>
            </w:r>
            <w:r>
              <w:rPr>
                <w:rFonts w:hint="eastAsia" w:cs="Times New Roman" w:asciiTheme="minorEastAsia" w:hAnsiTheme="minorEastAsia"/>
                <w:color w:val="000000"/>
                <w:kern w:val="0"/>
                <w:sz w:val="24"/>
                <w:szCs w:val="24"/>
              </w:rPr>
              <w:t>监察</w:t>
            </w: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行业（产品）</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监察任务（家）</w:t>
            </w: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2" w:hRule="atLeast"/>
          <w:jc w:val="center"/>
        </w:trPr>
        <w:tc>
          <w:tcPr>
            <w:tcW w:w="2142" w:type="dxa"/>
            <w:vMerge w:val="restart"/>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p>
            <w:pPr>
              <w:widowControl/>
              <w:snapToGrid w:val="0"/>
              <w:spacing w:line="360" w:lineRule="auto"/>
              <w:ind w:firstLine="218" w:firstLineChars="91"/>
              <w:jc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重点高耗能行业能耗专项监察</w:t>
            </w: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炼油</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2"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rPr>
                <w:rFonts w:cs="Times New Roman" w:asciiTheme="minorEastAsia" w:hAnsiTheme="minorEastAsia"/>
                <w:color w:val="00000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b/>
                <w:color w:val="000000"/>
                <w:sz w:val="24"/>
                <w:szCs w:val="24"/>
              </w:rPr>
            </w:pPr>
            <w:r>
              <w:rPr>
                <w:rFonts w:cs="Times New Roman" w:asciiTheme="minorEastAsia" w:hAnsiTheme="minorEastAsia"/>
                <w:color w:val="000000"/>
                <w:kern w:val="0"/>
                <w:sz w:val="24"/>
                <w:szCs w:val="24"/>
              </w:rPr>
              <w:t>对</w:t>
            </w:r>
            <w:r>
              <w:rPr>
                <w:rFonts w:hint="eastAsia" w:cs="Times New Roman" w:asciiTheme="minorEastAsia" w:hAnsiTheme="minorEastAsia"/>
                <w:color w:val="000000"/>
                <w:kern w:val="0"/>
                <w:sz w:val="24"/>
                <w:szCs w:val="24"/>
              </w:rPr>
              <w:t>二甲苯</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rPr>
                <w:rFonts w:cs="Times New Roman" w:asciiTheme="minorEastAsia" w:hAnsiTheme="minorEastAsia"/>
                <w:color w:val="00000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纯碱</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rPr>
                <w:rFonts w:cs="Times New Roman" w:asciiTheme="minorEastAsia" w:hAnsiTheme="minorEastAsia"/>
                <w:color w:val="00000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聚氯乙烯</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rPr>
                <w:rFonts w:cs="Times New Roman" w:asciiTheme="minorEastAsia" w:hAnsiTheme="minorEastAsia"/>
                <w:color w:val="00000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硫酸</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轮胎</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甲醇</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兰炭</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2"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水煤浆</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煤制天然气</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2"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煤直接液化制油</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炭黑</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煤基活性炭</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聚氯乙烯树脂</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工业硅</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工业冰醋酸</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钛白粉</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甲苯二异氰酸酯</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乙酸乙烯酯</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聚甲醛</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二苯基甲烷二异氰酸酯</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碳酸氢铵</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稀硝酸</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硫酸钾</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聚乙烯醇</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有机硅环体</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聚丙烯</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二甲醚</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苯乙烯</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1,4-丁二醇</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铝合金</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钛合金</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锑冶炼</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锡冶炼</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镍冶炼</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金精炼</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焙烧钼精矿</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稀土冶炼加工</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铜及铜合金管材</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铜及铜合金板、带、箔材</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铜及铜合金线材</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铜及铜合金棒材</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建筑石膏</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烧结墙体材料</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岩棉、矿渣棉及其制品</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光伏压延玻璃</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玻璃纤维</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微晶氧化铝陶瓷研磨球</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铸石</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铝塑板</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沥青基防水卷材</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糖</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textAlignment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啤酒</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 w:hRule="atLeast"/>
          <w:jc w:val="center"/>
        </w:trPr>
        <w:tc>
          <w:tcPr>
            <w:tcW w:w="2142" w:type="dxa"/>
            <w:vMerge w:val="restart"/>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阶梯电价执行专项监察</w:t>
            </w: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钢铁</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说明</w:t>
            </w:r>
            <w:r>
              <w:rPr>
                <w:rFonts w:cs="Times New Roman" w:asciiTheme="minorEastAsia" w:hAnsiTheme="minorEastAsia"/>
                <w:color w:val="000000"/>
                <w:kern w:val="0"/>
                <w:sz w:val="24"/>
                <w:szCs w:val="24"/>
              </w:rPr>
              <w:t>201</w:t>
            </w:r>
            <w:r>
              <w:rPr>
                <w:rFonts w:hint="eastAsia" w:cs="Times New Roman" w:asciiTheme="minorEastAsia" w:hAnsiTheme="minorEastAsia"/>
                <w:color w:val="000000"/>
                <w:kern w:val="0"/>
                <w:sz w:val="24"/>
                <w:szCs w:val="24"/>
              </w:rPr>
              <w:t>9</w:t>
            </w:r>
            <w:r>
              <w:rPr>
                <w:rFonts w:cs="Times New Roman" w:asciiTheme="minorEastAsia" w:hAnsiTheme="minorEastAsia"/>
                <w:color w:val="000000"/>
                <w:kern w:val="0"/>
                <w:sz w:val="24"/>
                <w:szCs w:val="24"/>
              </w:rPr>
              <w:t>年超标企业</w:t>
            </w:r>
            <w:r>
              <w:rPr>
                <w:rFonts w:hint="eastAsia" w:cs="Times New Roman" w:asciiTheme="minorEastAsia" w:hAnsiTheme="minorEastAsia"/>
                <w:color w:val="000000"/>
                <w:kern w:val="0"/>
                <w:sz w:val="24"/>
                <w:szCs w:val="24"/>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水泥</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说明</w:t>
            </w:r>
            <w:r>
              <w:rPr>
                <w:rFonts w:cs="Times New Roman" w:asciiTheme="minorEastAsia" w:hAnsiTheme="minorEastAsia"/>
                <w:color w:val="000000"/>
                <w:kern w:val="0"/>
                <w:sz w:val="24"/>
                <w:szCs w:val="24"/>
              </w:rPr>
              <w:t>201</w:t>
            </w:r>
            <w:r>
              <w:rPr>
                <w:rFonts w:hint="eastAsia" w:cs="Times New Roman" w:asciiTheme="minorEastAsia" w:hAnsiTheme="minorEastAsia"/>
                <w:color w:val="000000"/>
                <w:kern w:val="0"/>
                <w:sz w:val="24"/>
                <w:szCs w:val="24"/>
              </w:rPr>
              <w:t>9</w:t>
            </w:r>
            <w:r>
              <w:rPr>
                <w:rFonts w:cs="Times New Roman" w:asciiTheme="minorEastAsia" w:hAnsiTheme="minorEastAsia"/>
                <w:color w:val="000000"/>
                <w:kern w:val="0"/>
                <w:sz w:val="24"/>
                <w:szCs w:val="24"/>
              </w:rPr>
              <w:t>年超标企业</w:t>
            </w:r>
            <w:r>
              <w:rPr>
                <w:rFonts w:hint="eastAsia" w:cs="Times New Roman" w:asciiTheme="minorEastAsia" w:hAnsiTheme="minorEastAsia"/>
                <w:color w:val="000000"/>
                <w:kern w:val="0"/>
                <w:sz w:val="24"/>
                <w:szCs w:val="24"/>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2142" w:type="dxa"/>
            <w:vMerge w:val="continue"/>
            <w:tcBorders>
              <w:tl2br w:val="nil"/>
              <w:tr2bl w:val="nil"/>
            </w:tcBorders>
            <w:tcMar>
              <w:top w:w="15" w:type="dxa"/>
              <w:left w:w="15" w:type="dxa"/>
              <w:bottom w:w="15" w:type="dxa"/>
              <w:right w:w="15" w:type="dxa"/>
            </w:tcMar>
            <w:vAlign w:val="center"/>
          </w:tcPr>
          <w:p>
            <w:pPr>
              <w:widowControl/>
              <w:snapToGrid w:val="0"/>
              <w:spacing w:line="360" w:lineRule="auto"/>
              <w:ind w:firstLine="218" w:firstLineChars="91"/>
              <w:jc w:val="center"/>
              <w:rPr>
                <w:rFonts w:cs="Times New Roman" w:asciiTheme="minorEastAsia" w:hAnsiTheme="minorEastAsia"/>
                <w:color w:val="000000"/>
                <w:kern w:val="0"/>
                <w:sz w:val="24"/>
                <w:szCs w:val="24"/>
              </w:rPr>
            </w:pP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电解铝</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b/>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说明</w:t>
            </w:r>
            <w:r>
              <w:rPr>
                <w:rFonts w:cs="Times New Roman" w:asciiTheme="minorEastAsia" w:hAnsiTheme="minorEastAsia"/>
                <w:color w:val="000000"/>
                <w:kern w:val="0"/>
                <w:sz w:val="24"/>
                <w:szCs w:val="24"/>
              </w:rPr>
              <w:t>201</w:t>
            </w:r>
            <w:r>
              <w:rPr>
                <w:rFonts w:hint="eastAsia" w:cs="Times New Roman" w:asciiTheme="minorEastAsia" w:hAnsiTheme="minorEastAsia"/>
                <w:color w:val="000000"/>
                <w:kern w:val="0"/>
                <w:sz w:val="24"/>
                <w:szCs w:val="24"/>
              </w:rPr>
              <w:t>9</w:t>
            </w:r>
            <w:r>
              <w:rPr>
                <w:rFonts w:cs="Times New Roman" w:asciiTheme="minorEastAsia" w:hAnsiTheme="minorEastAsia"/>
                <w:color w:val="000000"/>
                <w:kern w:val="0"/>
                <w:sz w:val="24"/>
                <w:szCs w:val="24"/>
              </w:rPr>
              <w:t>年超标企业</w:t>
            </w:r>
            <w:r>
              <w:rPr>
                <w:rFonts w:hint="eastAsia" w:cs="Times New Roman" w:asciiTheme="minorEastAsia" w:hAnsiTheme="minorEastAsia"/>
                <w:color w:val="000000"/>
                <w:kern w:val="0"/>
                <w:sz w:val="24"/>
                <w:szCs w:val="24"/>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2142"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r>
              <w:rPr>
                <w:rFonts w:cs="Times New Roman" w:asciiTheme="minorEastAsia" w:hAnsiTheme="minorEastAsia"/>
                <w:color w:val="070707"/>
                <w:kern w:val="0"/>
                <w:sz w:val="24"/>
                <w:szCs w:val="24"/>
              </w:rPr>
              <w:t>数据中心能效专项监察</w:t>
            </w: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数据中心</w:t>
            </w: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2142"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201</w:t>
            </w:r>
            <w:r>
              <w:rPr>
                <w:rFonts w:hint="eastAsia" w:cs="Times New Roman" w:asciiTheme="minorEastAsia" w:hAnsiTheme="minorEastAsia"/>
                <w:color w:val="000000"/>
                <w:kern w:val="0"/>
                <w:sz w:val="24"/>
                <w:szCs w:val="24"/>
              </w:rPr>
              <w:t>9</w:t>
            </w:r>
            <w:r>
              <w:rPr>
                <w:rFonts w:cs="Times New Roman" w:asciiTheme="minorEastAsia" w:hAnsiTheme="minorEastAsia"/>
                <w:color w:val="000000"/>
                <w:kern w:val="0"/>
                <w:sz w:val="24"/>
                <w:szCs w:val="24"/>
              </w:rPr>
              <w:t>年违规企业整改落实情况专项监察</w:t>
            </w:r>
          </w:p>
        </w:tc>
        <w:tc>
          <w:tcPr>
            <w:tcW w:w="2551" w:type="dxa"/>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p>
        </w:tc>
        <w:tc>
          <w:tcPr>
            <w:tcW w:w="1843"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c>
          <w:tcPr>
            <w:tcW w:w="1984" w:type="dxa"/>
            <w:tcBorders>
              <w:tl2br w:val="nil"/>
              <w:tr2bl w:val="nil"/>
            </w:tcBorders>
            <w:tcMar>
              <w:top w:w="15" w:type="dxa"/>
              <w:left w:w="15" w:type="dxa"/>
              <w:bottom w:w="15" w:type="dxa"/>
              <w:right w:w="15" w:type="dxa"/>
            </w:tcMar>
            <w:vAlign w:val="center"/>
          </w:tcPr>
          <w:p>
            <w:pPr>
              <w:widowControl/>
              <w:snapToGrid w:val="0"/>
              <w:spacing w:line="360" w:lineRule="auto"/>
              <w:jc w:val="center"/>
              <w:rPr>
                <w:rFonts w:cs="Times New Roman" w:asciiTheme="minorEastAsia" w:hAnsiTheme="min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4693" w:type="dxa"/>
            <w:gridSpan w:val="2"/>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指定或委托组织实施的节能监察机构（1家）</w:t>
            </w:r>
          </w:p>
        </w:tc>
        <w:tc>
          <w:tcPr>
            <w:tcW w:w="3827" w:type="dxa"/>
            <w:gridSpan w:val="2"/>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sz w:val="24"/>
                <w:szCs w:val="24"/>
              </w:rPr>
            </w:pPr>
            <w:r>
              <w:rPr>
                <w:rFonts w:cs="Times New Roman" w:asciiTheme="minorEastAsia" w:hAnsiTheme="minorEastAsia"/>
                <w:b/>
                <w:color w:val="000000"/>
                <w:kern w:val="0"/>
                <w:sz w:val="24"/>
                <w:szCs w:val="24"/>
              </w:rPr>
              <w:t>（机构名称及开户单位、开户行及银行账户信息）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4693" w:type="dxa"/>
            <w:gridSpan w:val="2"/>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结余节能监察补助经费（万元）</w:t>
            </w:r>
          </w:p>
        </w:tc>
        <w:tc>
          <w:tcPr>
            <w:tcW w:w="3827" w:type="dxa"/>
            <w:gridSpan w:val="2"/>
            <w:tcBorders>
              <w:tl2br w:val="nil"/>
              <w:tr2bl w:val="nil"/>
            </w:tcBorders>
            <w:tcMar>
              <w:top w:w="15" w:type="dxa"/>
              <w:left w:w="15" w:type="dxa"/>
              <w:bottom w:w="15" w:type="dxa"/>
              <w:right w:w="15" w:type="dxa"/>
            </w:tcMar>
            <w:vAlign w:val="center"/>
          </w:tcPr>
          <w:p>
            <w:pPr>
              <w:widowControl/>
              <w:snapToGrid w:val="0"/>
              <w:spacing w:line="360" w:lineRule="auto"/>
              <w:jc w:val="center"/>
              <w:textAlignment w:val="center"/>
              <w:rPr>
                <w:rFonts w:cs="Times New Roman" w:asciiTheme="minorEastAsia" w:hAnsiTheme="minorEastAsia"/>
                <w:color w:val="000000"/>
                <w:sz w:val="24"/>
                <w:szCs w:val="24"/>
              </w:rPr>
            </w:pPr>
          </w:p>
        </w:tc>
      </w:tr>
    </w:tbl>
    <w:p>
      <w:pPr>
        <w:snapToGrid w:val="0"/>
        <w:spacing w:line="360" w:lineRule="auto"/>
        <w:rPr>
          <w:rFonts w:ascii="Times New Roman" w:hAnsi="Times New Roman" w:eastAsia="仿宋_GB2312" w:cs="Times New Roman"/>
          <w:szCs w:val="24"/>
        </w:rPr>
      </w:pPr>
    </w:p>
    <w:p>
      <w:pPr>
        <w:snapToGri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注:  1.</w:t>
      </w:r>
      <w:r>
        <w:rPr>
          <w:rFonts w:hint="eastAsia" w:ascii="Times New Roman" w:hAnsi="Times New Roman" w:eastAsia="仿宋_GB2312" w:cs="Times New Roman"/>
          <w:sz w:val="24"/>
          <w:szCs w:val="24"/>
        </w:rPr>
        <w:t>每</w:t>
      </w:r>
      <w:r>
        <w:rPr>
          <w:rFonts w:ascii="Times New Roman" w:hAnsi="Times New Roman" w:eastAsia="仿宋_GB2312" w:cs="Times New Roman"/>
          <w:sz w:val="24"/>
          <w:szCs w:val="24"/>
        </w:rPr>
        <w:t>家企业只</w:t>
      </w:r>
      <w:r>
        <w:rPr>
          <w:rFonts w:hint="eastAsia" w:ascii="Times New Roman" w:hAnsi="Times New Roman" w:eastAsia="仿宋_GB2312" w:cs="Times New Roman"/>
          <w:sz w:val="24"/>
          <w:szCs w:val="24"/>
        </w:rPr>
        <w:t>允许</w:t>
      </w:r>
      <w:r>
        <w:rPr>
          <w:rFonts w:ascii="Times New Roman" w:hAnsi="Times New Roman" w:eastAsia="仿宋_GB2312" w:cs="Times New Roman"/>
          <w:sz w:val="24"/>
          <w:szCs w:val="24"/>
        </w:rPr>
        <w:t>安排</w:t>
      </w:r>
      <w:r>
        <w:rPr>
          <w:rFonts w:hint="eastAsia" w:ascii="Times New Roman" w:hAnsi="Times New Roman" w:eastAsia="仿宋_GB2312" w:cs="Times New Roman"/>
          <w:sz w:val="24"/>
          <w:szCs w:val="24"/>
        </w:rPr>
        <w:t>一项专项节能监察任务，不得对同一家企业执行两项或两项以上专项节能监察任务</w:t>
      </w:r>
      <w:r>
        <w:rPr>
          <w:rFonts w:ascii="Times New Roman" w:hAnsi="Times New Roman" w:eastAsia="仿宋_GB2312" w:cs="Times New Roman"/>
          <w:sz w:val="24"/>
          <w:szCs w:val="24"/>
        </w:rPr>
        <w:t>；</w:t>
      </w:r>
    </w:p>
    <w:p>
      <w:pPr>
        <w:numPr>
          <w:ilvl w:val="0"/>
          <w:numId w:val="2"/>
        </w:numPr>
        <w:snapToGrid w:val="0"/>
        <w:spacing w:line="360" w:lineRule="auto"/>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为避免重复统计，对</w:t>
      </w:r>
      <w:r>
        <w:rPr>
          <w:rFonts w:hint="eastAsia" w:ascii="Times New Roman" w:hAnsi="Times New Roman" w:eastAsia="仿宋_GB2312" w:cs="Times New Roman"/>
          <w:sz w:val="24"/>
          <w:szCs w:val="24"/>
        </w:rPr>
        <w:t>2019年</w:t>
      </w:r>
      <w:r>
        <w:rPr>
          <w:rFonts w:ascii="Times New Roman" w:hAnsi="Times New Roman" w:eastAsia="仿宋_GB2312" w:cs="Times New Roman"/>
          <w:sz w:val="24"/>
          <w:szCs w:val="24"/>
        </w:rPr>
        <w:t>钢铁、水泥、电解铝行业违规企业的监察</w:t>
      </w:r>
      <w:r>
        <w:rPr>
          <w:rFonts w:hint="eastAsia" w:ascii="Times New Roman" w:hAnsi="Times New Roman" w:eastAsia="仿宋_GB2312" w:cs="Times New Roman"/>
          <w:sz w:val="24"/>
          <w:szCs w:val="24"/>
        </w:rPr>
        <w:t>应在阶梯电价政策执行专项监察中申报，并在</w:t>
      </w:r>
      <w:r>
        <w:rPr>
          <w:rFonts w:ascii="Times New Roman" w:hAnsi="Times New Roman" w:eastAsia="仿宋_GB2312" w:cs="Times New Roman"/>
          <w:sz w:val="24"/>
          <w:szCs w:val="24"/>
        </w:rPr>
        <w:t>附表2</w:t>
      </w:r>
      <w:r>
        <w:rPr>
          <w:rFonts w:hint="eastAsia" w:ascii="Times New Roman" w:hAnsi="Times New Roman" w:eastAsia="仿宋_GB2312" w:cs="Times New Roman"/>
          <w:sz w:val="24"/>
          <w:szCs w:val="24"/>
        </w:rPr>
        <w:t>备注中注明</w:t>
      </w:r>
      <w:r>
        <w:rPr>
          <w:rFonts w:ascii="Times New Roman" w:hAnsi="Times New Roman" w:eastAsia="仿宋_GB2312" w:cs="Times New Roman"/>
          <w:sz w:val="24"/>
          <w:szCs w:val="24"/>
        </w:rPr>
        <w:t>；</w:t>
      </w:r>
    </w:p>
    <w:p>
      <w:pPr>
        <w:numPr>
          <w:ilvl w:val="0"/>
          <w:numId w:val="2"/>
        </w:numPr>
        <w:snapToGrid w:val="0"/>
        <w:spacing w:line="360" w:lineRule="auto"/>
        <w:ind w:firstLine="48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重点高耗能行业能耗专项监察中，同一家企业生产多种产品的应按一家企业申报，并在附表2注明。</w:t>
      </w: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
      <w:pPr>
        <w:snapToGrid w:val="0"/>
        <w:spacing w:line="360" w:lineRule="auto"/>
        <w:rPr>
          <w:rFonts w:hint="eastAsia" w:ascii="黑体" w:hAnsi="黑体" w:eastAsia="黑体" w:cs="黑体"/>
          <w:sz w:val="32"/>
          <w:szCs w:val="32"/>
        </w:rPr>
      </w:pPr>
      <w:r>
        <w:rPr>
          <w:rFonts w:hint="eastAsia" w:ascii="黑体" w:hAnsi="黑体" w:eastAsia="黑体" w:cs="黑体"/>
          <w:sz w:val="32"/>
          <w:szCs w:val="32"/>
        </w:rPr>
        <w:t>附件2</w:t>
      </w:r>
    </w:p>
    <w:p>
      <w:pPr>
        <w:snapToGrid w:val="0"/>
        <w:spacing w:line="360" w:lineRule="auto"/>
        <w:jc w:val="center"/>
        <w:rPr>
          <w:rFonts w:ascii="Times New Roman" w:hAnsi="Times New Roman" w:eastAsia="黑体" w:cs="Times New Roman"/>
          <w:sz w:val="36"/>
          <w:szCs w:val="36"/>
        </w:rPr>
      </w:pPr>
      <w:r>
        <w:rPr>
          <w:rFonts w:ascii="Times New Roman" w:hAnsi="Times New Roman" w:eastAsia="仿宋_GB2312" w:cs="Times New Roman"/>
          <w:sz w:val="36"/>
          <w:szCs w:val="36"/>
        </w:rPr>
        <w:t>____</w:t>
      </w:r>
      <w:r>
        <w:rPr>
          <w:rFonts w:ascii="Times New Roman" w:hAnsi="Times New Roman" w:eastAsia="黑体" w:cs="Times New Roman"/>
          <w:sz w:val="36"/>
          <w:szCs w:val="36"/>
        </w:rPr>
        <w:t>市国家重大工业专项节能监察企业名单</w:t>
      </w:r>
    </w:p>
    <w:p>
      <w:pPr>
        <w:snapToGrid w:val="0"/>
        <w:spacing w:line="360" w:lineRule="auto"/>
        <w:rPr>
          <w:rFonts w:ascii="Times New Roman" w:hAnsi="Times New Roman" w:eastAsia="仿宋_GB2312" w:cs="Times New Roman"/>
          <w:sz w:val="24"/>
          <w:szCs w:val="24"/>
        </w:rPr>
      </w:pPr>
    </w:p>
    <w:p>
      <w:pPr>
        <w:snapToGrid w:val="0"/>
        <w:spacing w:line="360" w:lineRule="auto"/>
        <w:rPr>
          <w:rFonts w:cs="Times New Roman" w:asciiTheme="minorEastAsia" w:hAnsiTheme="minorEastAsia"/>
          <w:sz w:val="28"/>
          <w:szCs w:val="28"/>
        </w:rPr>
      </w:pPr>
      <w:r>
        <w:rPr>
          <w:rFonts w:cs="Times New Roman" w:asciiTheme="minorEastAsia" w:hAnsiTheme="minorEastAsia"/>
          <w:sz w:val="28"/>
          <w:szCs w:val="28"/>
        </w:rPr>
        <w:t xml:space="preserve">  申报单位：      （盖章）</w:t>
      </w:r>
    </w:p>
    <w:tbl>
      <w:tblPr>
        <w:tblStyle w:val="5"/>
        <w:tblW w:w="8520" w:type="dxa"/>
        <w:jc w:val="center"/>
        <w:tblLayout w:type="fixed"/>
        <w:tblCellMar>
          <w:top w:w="15" w:type="dxa"/>
          <w:left w:w="15" w:type="dxa"/>
          <w:bottom w:w="15" w:type="dxa"/>
          <w:right w:w="15" w:type="dxa"/>
        </w:tblCellMar>
      </w:tblPr>
      <w:tblGrid>
        <w:gridCol w:w="523"/>
        <w:gridCol w:w="1007"/>
        <w:gridCol w:w="2414"/>
        <w:gridCol w:w="1110"/>
        <w:gridCol w:w="2694"/>
        <w:gridCol w:w="772"/>
      </w:tblGrid>
      <w:tr>
        <w:tblPrEx>
          <w:tblCellMar>
            <w:top w:w="15" w:type="dxa"/>
            <w:left w:w="15" w:type="dxa"/>
            <w:bottom w:w="15" w:type="dxa"/>
            <w:right w:w="15" w:type="dxa"/>
          </w:tblCellMar>
        </w:tblPrEx>
        <w:trPr>
          <w:trHeight w:val="93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专项监察类别</w:t>
            </w:r>
          </w:p>
        </w:tc>
        <w:tc>
          <w:tcPr>
            <w:tcW w:w="24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企业名称</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行业</w:t>
            </w:r>
          </w:p>
          <w:p>
            <w:pPr>
              <w:widowControl/>
              <w:snapToGrid w:val="0"/>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（产品）</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rPr>
              <w:t>2019年能源消费量/数据中心耗电量（吨标准煤/万千瓦时）</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备注</w:t>
            </w:r>
          </w:p>
        </w:tc>
      </w:tr>
      <w:tr>
        <w:tblPrEx>
          <w:tblCellMar>
            <w:top w:w="15" w:type="dxa"/>
            <w:left w:w="15" w:type="dxa"/>
            <w:bottom w:w="15" w:type="dxa"/>
            <w:right w:w="15" w:type="dxa"/>
          </w:tblCellMar>
        </w:tblPrEx>
        <w:trPr>
          <w:trHeight w:val="42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44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44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44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42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44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50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45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45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45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485"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54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54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269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imes New Roman" w:hAnsi="Times New Roman" w:eastAsia="仿宋_GB2312" w:cs="Times New Roman"/>
                <w:color w:val="000000"/>
                <w:sz w:val="24"/>
                <w:szCs w:val="24"/>
              </w:rPr>
            </w:pPr>
          </w:p>
        </w:tc>
      </w:tr>
    </w:tbl>
    <w:p>
      <w:pPr>
        <w:snapToGrid w:val="0"/>
        <w:spacing w:line="360" w:lineRule="auto"/>
        <w:ind w:firstLine="420" w:firstLineChars="200"/>
        <w:rPr>
          <w:rFonts w:ascii="Times New Roman" w:hAnsi="Times New Roman" w:eastAsia="仿宋_GB2312" w:cs="Times New Roman"/>
          <w:szCs w:val="24"/>
        </w:rPr>
      </w:pPr>
    </w:p>
    <w:p>
      <w:pPr>
        <w:snapToGrid w:val="0"/>
        <w:spacing w:line="360" w:lineRule="auto"/>
        <w:ind w:left="480" w:hanging="480" w:hangingChars="200"/>
        <w:rPr>
          <w:rFonts w:ascii="Times New Roman" w:hAnsi="Times New Roman" w:eastAsia="仿宋_GB2312" w:cs="Times New Roman"/>
          <w:sz w:val="24"/>
          <w:szCs w:val="24"/>
        </w:rPr>
      </w:pPr>
      <w:r>
        <w:rPr>
          <w:rFonts w:ascii="Times New Roman" w:hAnsi="Times New Roman" w:eastAsia="仿宋_GB2312" w:cs="Times New Roman"/>
          <w:sz w:val="24"/>
          <w:szCs w:val="24"/>
        </w:rPr>
        <w:t>注：1.为避免重复统计，对</w:t>
      </w:r>
      <w:r>
        <w:rPr>
          <w:rFonts w:hint="eastAsia" w:ascii="Times New Roman" w:hAnsi="Times New Roman" w:eastAsia="仿宋_GB2312" w:cs="Times New Roman"/>
          <w:sz w:val="24"/>
          <w:szCs w:val="24"/>
        </w:rPr>
        <w:t>2019年</w:t>
      </w:r>
      <w:r>
        <w:rPr>
          <w:rFonts w:ascii="Times New Roman" w:hAnsi="Times New Roman" w:eastAsia="仿宋_GB2312" w:cs="Times New Roman"/>
          <w:sz w:val="24"/>
          <w:szCs w:val="24"/>
        </w:rPr>
        <w:t>钢铁、水泥、电解铝行业违规企业的监察</w:t>
      </w:r>
      <w:r>
        <w:rPr>
          <w:rFonts w:hint="eastAsia" w:ascii="Times New Roman" w:hAnsi="Times New Roman" w:eastAsia="仿宋_GB2312" w:cs="Times New Roman"/>
          <w:sz w:val="24"/>
          <w:szCs w:val="24"/>
        </w:rPr>
        <w:t>应在阶梯电价政策执行专项监察中申报，并在备注中注明</w:t>
      </w:r>
      <w:r>
        <w:rPr>
          <w:rFonts w:ascii="Times New Roman" w:hAnsi="Times New Roman" w:eastAsia="仿宋_GB2312" w:cs="Times New Roman"/>
          <w:sz w:val="24"/>
          <w:szCs w:val="24"/>
        </w:rPr>
        <w:t>属于201</w:t>
      </w:r>
      <w:r>
        <w:rPr>
          <w:rFonts w:hint="eastAsia" w:ascii="Times New Roman" w:hAnsi="Times New Roman" w:eastAsia="仿宋_GB2312" w:cs="Times New Roman"/>
          <w:sz w:val="24"/>
          <w:szCs w:val="24"/>
        </w:rPr>
        <w:t>9</w:t>
      </w:r>
      <w:r>
        <w:rPr>
          <w:rFonts w:ascii="Times New Roman" w:hAnsi="Times New Roman" w:eastAsia="仿宋_GB2312" w:cs="Times New Roman"/>
          <w:sz w:val="24"/>
          <w:szCs w:val="24"/>
        </w:rPr>
        <w:t>年违规企业；</w:t>
      </w:r>
    </w:p>
    <w:p>
      <w:pPr>
        <w:numPr>
          <w:ilvl w:val="0"/>
          <w:numId w:val="3"/>
        </w:numPr>
        <w:snapToGrid w:val="0"/>
        <w:spacing w:line="360" w:lineRule="auto"/>
        <w:ind w:left="420" w:left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重点高耗能行业能耗专项监察中，同一家企业生产多种产品的</w:t>
      </w:r>
      <w:r>
        <w:rPr>
          <w:rFonts w:ascii="Times New Roman" w:hAnsi="Times New Roman" w:eastAsia="仿宋_GB2312" w:cs="Times New Roman"/>
          <w:sz w:val="24"/>
          <w:szCs w:val="24"/>
        </w:rPr>
        <w:t>应按照</w:t>
      </w:r>
      <w:r>
        <w:rPr>
          <w:rFonts w:hint="eastAsia" w:ascii="Times New Roman" w:hAnsi="Times New Roman" w:eastAsia="仿宋_GB2312" w:cs="Times New Roman"/>
          <w:sz w:val="24"/>
          <w:szCs w:val="24"/>
        </w:rPr>
        <w:t>一</w:t>
      </w:r>
      <w:r>
        <w:rPr>
          <w:rFonts w:ascii="Times New Roman" w:hAnsi="Times New Roman" w:eastAsia="仿宋_GB2312" w:cs="Times New Roman"/>
          <w:sz w:val="24"/>
          <w:szCs w:val="24"/>
        </w:rPr>
        <w:t>家企业申报，并在</w:t>
      </w:r>
      <w:r>
        <w:rPr>
          <w:rFonts w:ascii="Times New Roman" w:hAnsi="Times New Roman" w:eastAsia="仿宋_GB2312" w:cs="Times New Roman"/>
          <w:bCs/>
          <w:color w:val="000000"/>
          <w:kern w:val="0"/>
          <w:sz w:val="24"/>
          <w:szCs w:val="24"/>
        </w:rPr>
        <w:t>行业（产品）一栏</w:t>
      </w:r>
      <w:r>
        <w:rPr>
          <w:rFonts w:ascii="Times New Roman" w:hAnsi="Times New Roman" w:eastAsia="仿宋_GB2312" w:cs="Times New Roman"/>
          <w:sz w:val="24"/>
          <w:szCs w:val="24"/>
        </w:rPr>
        <w:t>注明产品种类</w:t>
      </w:r>
      <w:r>
        <w:rPr>
          <w:rFonts w:hint="eastAsia" w:ascii="Times New Roman" w:hAnsi="Times New Roman" w:eastAsia="仿宋_GB2312" w:cs="Times New Roman"/>
          <w:sz w:val="24"/>
          <w:szCs w:val="24"/>
        </w:rPr>
        <w:t>。</w:t>
      </w:r>
    </w:p>
    <w:p>
      <w:pPr>
        <w:numPr>
          <w:ilvl w:val="0"/>
          <w:numId w:val="3"/>
        </w:numPr>
        <w:snapToGrid w:val="0"/>
        <w:spacing w:line="360" w:lineRule="auto"/>
        <w:ind w:left="420" w:leftChars="200"/>
        <w:rPr>
          <w:rFonts w:ascii="Times New Roman" w:hAnsi="Times New Roman" w:eastAsia="宋体" w:cs="Times New Roman"/>
          <w:sz w:val="24"/>
          <w:szCs w:val="24"/>
        </w:rPr>
      </w:pPr>
      <w:r>
        <w:rPr>
          <w:rFonts w:ascii="Times New Roman" w:hAnsi="Times New Roman" w:eastAsia="仿宋_GB2312" w:cs="Times New Roman"/>
          <w:sz w:val="24"/>
          <w:szCs w:val="24"/>
        </w:rPr>
        <w:t>数据中心能耗专项监察任务申报时，应填写数据中心201</w:t>
      </w:r>
      <w:r>
        <w:rPr>
          <w:rFonts w:hint="eastAsia" w:ascii="Times New Roman" w:hAnsi="Times New Roman" w:eastAsia="仿宋_GB2312" w:cs="Times New Roman"/>
          <w:sz w:val="24"/>
          <w:szCs w:val="24"/>
        </w:rPr>
        <w:t>9</w:t>
      </w:r>
      <w:r>
        <w:rPr>
          <w:rFonts w:ascii="Times New Roman" w:hAnsi="Times New Roman" w:eastAsia="仿宋_GB2312" w:cs="Times New Roman"/>
          <w:sz w:val="24"/>
          <w:szCs w:val="24"/>
        </w:rPr>
        <w:t>年耗电量。</w:t>
      </w:r>
    </w:p>
    <w:p>
      <w:pPr>
        <w:rPr>
          <w:rFonts w:ascii="Calibri" w:hAnsi="Calibri" w:eastAsia="宋体" w:cs="Times New Roman"/>
          <w:sz w:val="24"/>
          <w:szCs w:val="24"/>
        </w:rPr>
      </w:pPr>
    </w:p>
    <w:p>
      <w:pPr>
        <w:rPr>
          <w:sz w:val="24"/>
          <w:szCs w:val="24"/>
        </w:rPr>
      </w:pPr>
    </w:p>
    <w:p/>
    <w:sectPr>
      <w:footerReference r:id="rId3" w:type="default"/>
      <w:pgSz w:w="11906" w:h="16838"/>
      <w:pgMar w:top="1474" w:right="1644" w:bottom="1247" w:left="16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F7B6"/>
    <w:multiLevelType w:val="singleLevel"/>
    <w:tmpl w:val="1E4FF7B6"/>
    <w:lvl w:ilvl="0" w:tentative="0">
      <w:start w:val="1"/>
      <w:numFmt w:val="decimal"/>
      <w:suff w:val="space"/>
      <w:lvlText w:val="%1."/>
      <w:lvlJc w:val="left"/>
    </w:lvl>
  </w:abstractNum>
  <w:abstractNum w:abstractNumId="1">
    <w:nsid w:val="5C77C821"/>
    <w:multiLevelType w:val="singleLevel"/>
    <w:tmpl w:val="5C77C821"/>
    <w:lvl w:ilvl="0" w:tentative="0">
      <w:start w:val="2"/>
      <w:numFmt w:val="decimal"/>
      <w:suff w:val="nothing"/>
      <w:lvlText w:val="%1."/>
      <w:lvlJc w:val="left"/>
    </w:lvl>
  </w:abstractNum>
  <w:abstractNum w:abstractNumId="2">
    <w:nsid w:val="5C7CA9F8"/>
    <w:multiLevelType w:val="singleLevel"/>
    <w:tmpl w:val="5C7CA9F8"/>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13"/>
    <w:rsid w:val="000357D2"/>
    <w:rsid w:val="000A16DC"/>
    <w:rsid w:val="000E5278"/>
    <w:rsid w:val="000F3CD7"/>
    <w:rsid w:val="000F4AF7"/>
    <w:rsid w:val="001B34B0"/>
    <w:rsid w:val="001E5A7B"/>
    <w:rsid w:val="0021359C"/>
    <w:rsid w:val="003A3900"/>
    <w:rsid w:val="003C582A"/>
    <w:rsid w:val="003E6931"/>
    <w:rsid w:val="005579D0"/>
    <w:rsid w:val="005D4739"/>
    <w:rsid w:val="005D68C6"/>
    <w:rsid w:val="00660B73"/>
    <w:rsid w:val="00684954"/>
    <w:rsid w:val="006A7476"/>
    <w:rsid w:val="006B3FCD"/>
    <w:rsid w:val="006C46DA"/>
    <w:rsid w:val="007A0CF1"/>
    <w:rsid w:val="007E67A5"/>
    <w:rsid w:val="00956157"/>
    <w:rsid w:val="009A193B"/>
    <w:rsid w:val="009A45E1"/>
    <w:rsid w:val="00C1641F"/>
    <w:rsid w:val="00CD7E85"/>
    <w:rsid w:val="00D417F1"/>
    <w:rsid w:val="00FD0888"/>
    <w:rsid w:val="00FD1113"/>
    <w:rsid w:val="0C2E12D7"/>
    <w:rsid w:val="37383EE1"/>
    <w:rsid w:val="37985AFE"/>
    <w:rsid w:val="490E3A6D"/>
    <w:rsid w:val="4FE207CF"/>
    <w:rsid w:val="67C258AB"/>
    <w:rsid w:val="6FEC75BE"/>
    <w:rsid w:val="70CE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320</Words>
  <Characters>1827</Characters>
  <Lines>15</Lines>
  <Paragraphs>4</Paragraphs>
  <TotalTime>332</TotalTime>
  <ScaleCrop>false</ScaleCrop>
  <LinksUpToDate>false</LinksUpToDate>
  <CharactersWithSpaces>2143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2020-01-21T03:05:00Z</dcterms:created>
  <dc:creator>PC</dc:creator>
  <cp:lastModifiedBy>snow</cp:lastModifiedBy>
  <cp:lastPrinted>2020-02-18T01:45:00Z</cp:lastPrinted>
  <dcterms:modified xsi:type="dcterms:W3CDTF">2020-02-24T06:58:23Z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