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eastAsia="黑体"/>
          <w:sz w:val="48"/>
          <w:szCs w:val="48"/>
        </w:rPr>
      </w:pPr>
    </w:p>
    <w:p>
      <w:pPr>
        <w:spacing w:line="440" w:lineRule="exact"/>
        <w:jc w:val="center"/>
        <w:rPr>
          <w:rFonts w:eastAsia="黑体"/>
          <w:sz w:val="48"/>
          <w:szCs w:val="48"/>
        </w:rPr>
      </w:pPr>
    </w:p>
    <w:p>
      <w:pPr>
        <w:spacing w:line="440" w:lineRule="exact"/>
        <w:jc w:val="center"/>
        <w:rPr>
          <w:rFonts w:eastAsia="黑体"/>
          <w:sz w:val="48"/>
          <w:szCs w:val="48"/>
        </w:rPr>
      </w:pPr>
    </w:p>
    <w:p>
      <w:pPr>
        <w:spacing w:line="440" w:lineRule="exact"/>
        <w:jc w:val="center"/>
        <w:rPr>
          <w:rFonts w:eastAsia="黑体"/>
          <w:sz w:val="48"/>
          <w:szCs w:val="48"/>
        </w:rPr>
      </w:pPr>
    </w:p>
    <w:p>
      <w:pPr>
        <w:spacing w:line="440" w:lineRule="exact"/>
        <w:jc w:val="center"/>
        <w:rPr>
          <w:rFonts w:eastAsia="黑体"/>
          <w:sz w:val="48"/>
          <w:szCs w:val="48"/>
        </w:rPr>
      </w:pPr>
    </w:p>
    <w:p>
      <w:pPr>
        <w:spacing w:line="440" w:lineRule="exact"/>
        <w:jc w:val="center"/>
        <w:rPr>
          <w:rFonts w:eastAsia="黑体"/>
          <w:sz w:val="48"/>
          <w:szCs w:val="48"/>
        </w:rPr>
      </w:pPr>
    </w:p>
    <w:p>
      <w:pPr>
        <w:spacing w:line="440" w:lineRule="exact"/>
        <w:jc w:val="center"/>
        <w:rPr>
          <w:b/>
          <w:color w:val="000000"/>
          <w:sz w:val="48"/>
        </w:rPr>
      </w:pPr>
    </w:p>
    <w:p>
      <w:pPr>
        <w:jc w:val="center"/>
        <w:rPr>
          <w:rFonts w:hint="eastAsia" w:ascii="方正小标宋_GBK" w:hAnsi="方正小标宋_GBK" w:eastAsia="方正小标宋_GBK" w:cs="方正小标宋_GBK"/>
          <w:color w:val="000000"/>
          <w:sz w:val="52"/>
          <w:szCs w:val="52"/>
        </w:rPr>
      </w:pPr>
      <w:r>
        <w:rPr>
          <w:rFonts w:hint="eastAsia" w:ascii="方正小标宋_GBK" w:hAnsi="方正小标宋_GBK" w:eastAsia="方正小标宋_GBK" w:cs="方正小标宋_GBK"/>
          <w:color w:val="000000"/>
          <w:sz w:val="52"/>
          <w:szCs w:val="52"/>
        </w:rPr>
        <w:t>山东省盐业企业统计系统</w:t>
      </w:r>
    </w:p>
    <w:p>
      <w:pPr>
        <w:jc w:val="center"/>
        <w:rPr>
          <w:rFonts w:hint="eastAsia" w:ascii="方正小标宋_GBK" w:hAnsi="方正小标宋_GBK" w:eastAsia="方正小标宋_GBK" w:cs="方正小标宋_GBK"/>
          <w:color w:val="000000"/>
          <w:sz w:val="52"/>
          <w:szCs w:val="52"/>
        </w:rPr>
      </w:pPr>
      <w:r>
        <w:rPr>
          <w:rFonts w:hint="eastAsia" w:ascii="方正小标宋_GBK" w:hAnsi="方正小标宋_GBK" w:eastAsia="方正小标宋_GBK" w:cs="方正小标宋_GBK"/>
          <w:color w:val="000000"/>
          <w:sz w:val="52"/>
          <w:szCs w:val="52"/>
        </w:rPr>
        <w:t>用户手册</w:t>
      </w:r>
    </w:p>
    <w:p>
      <w:pPr>
        <w:jc w:val="center"/>
        <w:rPr>
          <w:rFonts w:hint="eastAsia" w:ascii="黑体" w:hAnsi="黑体" w:eastAsia="黑体"/>
          <w:color w:val="000000"/>
          <w:sz w:val="36"/>
        </w:rPr>
      </w:pPr>
    </w:p>
    <w:p>
      <w:pPr>
        <w:jc w:val="center"/>
        <w:rPr>
          <w:rFonts w:hint="default" w:ascii="黑体" w:hAnsi="黑体" w:eastAsia="黑体"/>
          <w:color w:val="000000"/>
          <w:sz w:val="36"/>
          <w:lang w:val="en-US" w:eastAsia="zh-CN"/>
        </w:rPr>
      </w:pPr>
      <w:r>
        <w:rPr>
          <w:rFonts w:hint="eastAsia" w:ascii="黑体" w:hAnsi="黑体" w:eastAsia="黑体"/>
          <w:color w:val="000000"/>
          <w:sz w:val="36"/>
          <w:lang w:val="en-US" w:eastAsia="zh-CN"/>
        </w:rPr>
        <w:t xml:space="preserve">                                                                                                              </w:t>
      </w:r>
    </w:p>
    <w:p>
      <w:pPr>
        <w:spacing w:line="440" w:lineRule="exact"/>
        <w:jc w:val="center"/>
        <w:rPr>
          <w:color w:val="000000"/>
        </w:rPr>
      </w:pPr>
    </w:p>
    <w:p>
      <w:pPr>
        <w:jc w:val="center"/>
      </w:pPr>
    </w:p>
    <w:p>
      <w:pPr>
        <w:jc w:val="center"/>
      </w:pPr>
    </w:p>
    <w:p>
      <w:pPr>
        <w:jc w:val="center"/>
      </w:pPr>
    </w:p>
    <w:p>
      <w:pPr>
        <w:jc w:val="center"/>
      </w:pPr>
    </w:p>
    <w:p>
      <w:pPr>
        <w:jc w:val="center"/>
      </w:pPr>
    </w:p>
    <w:p>
      <w:pPr>
        <w:jc w:val="center"/>
      </w:pPr>
    </w:p>
    <w:p>
      <w:pPr>
        <w:jc w:val="center"/>
      </w:pPr>
    </w:p>
    <w:p>
      <w:pPr>
        <w:jc w:val="center"/>
        <w:rPr>
          <w:rFonts w:hint="eastAsia" w:ascii="宋体" w:hAnsi="宋体" w:cs="宋体"/>
          <w:sz w:val="44"/>
          <w:szCs w:val="44"/>
        </w:rPr>
      </w:pPr>
    </w:p>
    <w:p>
      <w:pPr>
        <w:jc w:val="center"/>
        <w:rPr>
          <w:sz w:val="44"/>
          <w:szCs w:val="44"/>
        </w:rPr>
      </w:pPr>
      <w:r>
        <w:rPr>
          <w:rFonts w:hint="eastAsia" w:ascii="宋体" w:hAnsi="宋体" w:cs="宋体"/>
          <w:sz w:val="44"/>
          <w:szCs w:val="44"/>
          <w:lang w:eastAsia="zh-CN"/>
        </w:rPr>
        <w:t>二</w:t>
      </w:r>
      <w:r>
        <w:rPr>
          <w:rFonts w:hint="eastAsia" w:ascii="宋体" w:hAnsi="宋体" w:cs="宋体"/>
          <w:sz w:val="44"/>
          <w:szCs w:val="44"/>
          <w:lang w:val="en-US" w:eastAsia="zh-CN"/>
        </w:rPr>
        <w:t>0二一年一月</w:t>
      </w:r>
      <w:r>
        <w:rPr>
          <w:sz w:val="44"/>
          <w:szCs w:val="44"/>
        </w:rPr>
        <w:br w:type="page"/>
      </w:r>
    </w:p>
    <w:p>
      <w:pPr>
        <w:jc w:val="center"/>
        <w:rPr>
          <w:sz w:val="44"/>
          <w:szCs w:val="44"/>
        </w:rPr>
      </w:pPr>
    </w:p>
    <w:p>
      <w:pPr>
        <w:jc w:val="center"/>
        <w:rPr>
          <w:rFonts w:hint="eastAsia" w:ascii="黑体" w:hAnsi="黑体" w:eastAsia="黑体"/>
          <w:sz w:val="32"/>
          <w:szCs w:val="32"/>
        </w:rPr>
      </w:pPr>
      <w:r>
        <w:rPr>
          <w:rFonts w:hint="eastAsia" w:ascii="黑体" w:hAnsi="黑体" w:eastAsia="黑体"/>
          <w:sz w:val="32"/>
          <w:szCs w:val="32"/>
        </w:rPr>
        <w:t>目    录</w:t>
      </w:r>
    </w:p>
    <w:p>
      <w:pPr>
        <w:jc w:val="center"/>
        <w:rPr>
          <w:rFonts w:hint="eastAsia" w:ascii="黑体" w:hAnsi="黑体" w:eastAsia="黑体"/>
          <w:sz w:val="32"/>
          <w:szCs w:val="32"/>
        </w:rPr>
      </w:pPr>
    </w:p>
    <w:p>
      <w:pPr>
        <w:pStyle w:val="20"/>
        <w:tabs>
          <w:tab w:val="right" w:leader="dot" w:pos="8312"/>
          <w:tab w:val="clear" w:pos="420"/>
          <w:tab w:val="clear" w:pos="8302"/>
        </w:tabs>
      </w:pPr>
      <w:r>
        <w:rPr>
          <w:b/>
          <w:bCs/>
          <w:caps/>
          <w:sz w:val="36"/>
        </w:rPr>
        <w:fldChar w:fldCharType="begin"/>
      </w:r>
      <w:r>
        <w:rPr>
          <w:b/>
          <w:bCs/>
          <w:caps/>
          <w:sz w:val="36"/>
        </w:rPr>
        <w:instrText xml:space="preserve"> TOC \o "1-2" \h \z \u </w:instrText>
      </w:r>
      <w:r>
        <w:rPr>
          <w:b/>
          <w:bCs/>
          <w:caps/>
          <w:sz w:val="36"/>
        </w:rPr>
        <w:fldChar w:fldCharType="separate"/>
      </w:r>
      <w:r>
        <w:rPr>
          <w:bCs/>
          <w:caps/>
        </w:rPr>
        <w:fldChar w:fldCharType="begin"/>
      </w:r>
      <w:r>
        <w:rPr>
          <w:bCs/>
          <w:caps/>
        </w:rPr>
        <w:instrText xml:space="preserve"> HYPERLINK \l _Toc13214 </w:instrText>
      </w:r>
      <w:r>
        <w:rPr>
          <w:bCs/>
          <w:caps/>
        </w:rPr>
        <w:fldChar w:fldCharType="separate"/>
      </w:r>
      <w:r>
        <w:t xml:space="preserve">1. </w:t>
      </w:r>
      <w:r>
        <w:rPr>
          <w:rFonts w:hint="eastAsia"/>
        </w:rPr>
        <w:t>概述</w:t>
      </w:r>
      <w:r>
        <w:tab/>
      </w:r>
      <w:r>
        <w:fldChar w:fldCharType="begin"/>
      </w:r>
      <w:r>
        <w:instrText xml:space="preserve"> PAGEREF _Toc13214 </w:instrText>
      </w:r>
      <w:r>
        <w:fldChar w:fldCharType="separate"/>
      </w:r>
      <w:r>
        <w:t>1</w:t>
      </w:r>
      <w:r>
        <w:fldChar w:fldCharType="end"/>
      </w:r>
      <w:r>
        <w:rPr>
          <w:bCs/>
          <w:caps/>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_Toc6929 </w:instrText>
      </w:r>
      <w:r>
        <w:rPr>
          <w:rFonts w:ascii="黑体" w:hAnsi="黑体" w:eastAsia="黑体"/>
          <w:bCs/>
          <w:caps/>
          <w:szCs w:val="28"/>
        </w:rPr>
        <w:fldChar w:fldCharType="separate"/>
      </w:r>
      <w:r>
        <w:t xml:space="preserve">1.1. </w:t>
      </w:r>
      <w:r>
        <w:rPr>
          <w:rFonts w:hint="eastAsia"/>
        </w:rPr>
        <w:t>系统背景</w:t>
      </w:r>
      <w:r>
        <w:tab/>
      </w:r>
      <w:r>
        <w:fldChar w:fldCharType="begin"/>
      </w:r>
      <w:r>
        <w:instrText xml:space="preserve"> PAGEREF _Toc6929 </w:instrText>
      </w:r>
      <w:r>
        <w:fldChar w:fldCharType="separate"/>
      </w:r>
      <w:r>
        <w:t>1</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_Toc14085 </w:instrText>
      </w:r>
      <w:r>
        <w:rPr>
          <w:rFonts w:ascii="黑体" w:hAnsi="黑体" w:eastAsia="黑体"/>
          <w:bCs/>
          <w:caps/>
          <w:szCs w:val="28"/>
        </w:rPr>
        <w:fldChar w:fldCharType="separate"/>
      </w:r>
      <w:r>
        <w:t xml:space="preserve">1.2. </w:t>
      </w:r>
      <w:r>
        <w:rPr>
          <w:rFonts w:hint="eastAsia"/>
        </w:rPr>
        <w:t>系统推荐</w:t>
      </w:r>
      <w:r>
        <w:tab/>
      </w:r>
      <w:r>
        <w:fldChar w:fldCharType="begin"/>
      </w:r>
      <w:r>
        <w:instrText xml:space="preserve"> PAGEREF _Toc14085 </w:instrText>
      </w:r>
      <w:r>
        <w:fldChar w:fldCharType="separate"/>
      </w:r>
      <w:r>
        <w:t>1</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_Toc27315 </w:instrText>
      </w:r>
      <w:r>
        <w:rPr>
          <w:rFonts w:ascii="黑体" w:hAnsi="黑体" w:eastAsia="黑体"/>
          <w:bCs/>
          <w:caps/>
          <w:szCs w:val="28"/>
        </w:rPr>
        <w:fldChar w:fldCharType="separate"/>
      </w:r>
      <w:r>
        <w:t xml:space="preserve">1.3. </w:t>
      </w:r>
      <w:r>
        <w:rPr>
          <w:rFonts w:hint="eastAsia"/>
        </w:rPr>
        <w:t>系统</w:t>
      </w:r>
      <w:r>
        <w:rPr>
          <w:rFonts w:hint="eastAsia"/>
          <w:lang w:eastAsia="zh-CN"/>
        </w:rPr>
        <w:t>角色和</w:t>
      </w:r>
      <w:r>
        <w:rPr>
          <w:rFonts w:hint="eastAsia"/>
        </w:rPr>
        <w:t>功能</w:t>
      </w:r>
      <w:r>
        <w:tab/>
      </w:r>
      <w:r>
        <w:fldChar w:fldCharType="begin"/>
      </w:r>
      <w:r>
        <w:instrText xml:space="preserve"> PAGEREF _Toc27315 </w:instrText>
      </w:r>
      <w:r>
        <w:fldChar w:fldCharType="separate"/>
      </w:r>
      <w:r>
        <w:t>1</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_Toc32187 </w:instrText>
      </w:r>
      <w:r>
        <w:rPr>
          <w:rFonts w:ascii="黑体" w:hAnsi="黑体" w:eastAsia="黑体"/>
          <w:bCs/>
          <w:caps/>
          <w:szCs w:val="28"/>
        </w:rPr>
        <w:fldChar w:fldCharType="separate"/>
      </w:r>
      <w:r>
        <w:t xml:space="preserve">1.4. </w:t>
      </w:r>
      <w:r>
        <w:rPr>
          <w:rFonts w:hint="eastAsia"/>
        </w:rPr>
        <w:t>应用场景</w:t>
      </w:r>
      <w:r>
        <w:tab/>
      </w:r>
      <w:r>
        <w:fldChar w:fldCharType="begin"/>
      </w:r>
      <w:r>
        <w:instrText xml:space="preserve"> PAGEREF _Toc32187 </w:instrText>
      </w:r>
      <w:r>
        <w:fldChar w:fldCharType="separate"/>
      </w:r>
      <w:r>
        <w:t>1</w:t>
      </w:r>
      <w:r>
        <w:fldChar w:fldCharType="end"/>
      </w:r>
      <w:r>
        <w:rPr>
          <w:rFonts w:ascii="黑体" w:hAnsi="黑体" w:eastAsia="黑体"/>
          <w:bCs/>
          <w:caps/>
          <w:szCs w:val="28"/>
        </w:rPr>
        <w:fldChar w:fldCharType="end"/>
      </w:r>
    </w:p>
    <w:p>
      <w:pPr>
        <w:pStyle w:val="20"/>
        <w:tabs>
          <w:tab w:val="right" w:leader="dot" w:pos="8312"/>
          <w:tab w:val="clear" w:pos="42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_Toc11352 </w:instrText>
      </w:r>
      <w:r>
        <w:rPr>
          <w:rFonts w:ascii="黑体" w:hAnsi="黑体" w:eastAsia="黑体"/>
          <w:bCs/>
          <w:caps/>
          <w:szCs w:val="28"/>
        </w:rPr>
        <w:fldChar w:fldCharType="separate"/>
      </w:r>
      <w:r>
        <w:rPr>
          <w:rFonts w:hint="eastAsia"/>
          <w:lang w:val="en-US" w:eastAsia="zh-CN"/>
        </w:rPr>
        <w:t xml:space="preserve">2. </w:t>
      </w:r>
      <w:r>
        <w:rPr>
          <w:rFonts w:hint="eastAsia"/>
        </w:rPr>
        <w:t>操作指南</w:t>
      </w:r>
      <w:r>
        <w:tab/>
      </w:r>
      <w:r>
        <w:fldChar w:fldCharType="begin"/>
      </w:r>
      <w:r>
        <w:instrText xml:space="preserve"> PAGEREF _Toc11352 </w:instrText>
      </w:r>
      <w:r>
        <w:fldChar w:fldCharType="separate"/>
      </w:r>
      <w:r>
        <w:t>2</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_Toc21395 </w:instrText>
      </w:r>
      <w:r>
        <w:rPr>
          <w:rFonts w:ascii="黑体" w:hAnsi="黑体" w:eastAsia="黑体"/>
          <w:bCs/>
          <w:caps/>
          <w:szCs w:val="28"/>
        </w:rPr>
        <w:fldChar w:fldCharType="separate"/>
      </w:r>
      <w:r>
        <w:t xml:space="preserve">2.1. </w:t>
      </w:r>
      <w:r>
        <w:rPr>
          <w:rFonts w:hint="eastAsia"/>
          <w:lang w:eastAsia="zh-CN"/>
        </w:rPr>
        <w:t>技术支持</w:t>
      </w:r>
      <w:r>
        <w:tab/>
      </w:r>
      <w:r>
        <w:fldChar w:fldCharType="begin"/>
      </w:r>
      <w:r>
        <w:instrText xml:space="preserve"> PAGEREF _Toc21395 </w:instrText>
      </w:r>
      <w:r>
        <w:fldChar w:fldCharType="separate"/>
      </w:r>
      <w:r>
        <w:t>2</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_Toc17950 </w:instrText>
      </w:r>
      <w:r>
        <w:rPr>
          <w:rFonts w:ascii="黑体" w:hAnsi="黑体" w:eastAsia="黑体"/>
          <w:bCs/>
          <w:caps/>
          <w:szCs w:val="28"/>
        </w:rPr>
        <w:fldChar w:fldCharType="separate"/>
      </w:r>
      <w:r>
        <w:t xml:space="preserve">2.2. </w:t>
      </w:r>
      <w:r>
        <w:rPr>
          <w:rFonts w:hint="eastAsia"/>
          <w:lang w:eastAsia="zh-CN"/>
        </w:rPr>
        <w:t>系统登陆地址和用户账号及密码</w:t>
      </w:r>
      <w:r>
        <w:tab/>
      </w:r>
      <w:r>
        <w:fldChar w:fldCharType="begin"/>
      </w:r>
      <w:r>
        <w:instrText xml:space="preserve"> PAGEREF _Toc17950 </w:instrText>
      </w:r>
      <w:r>
        <w:fldChar w:fldCharType="separate"/>
      </w:r>
      <w:r>
        <w:t>2</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_Toc29051 </w:instrText>
      </w:r>
      <w:r>
        <w:rPr>
          <w:rFonts w:ascii="黑体" w:hAnsi="黑体" w:eastAsia="黑体"/>
          <w:bCs/>
          <w:caps/>
          <w:szCs w:val="28"/>
        </w:rPr>
        <w:fldChar w:fldCharType="separate"/>
      </w:r>
      <w:r>
        <w:rPr>
          <w:rFonts w:hint="eastAsia" w:ascii="Times New Roman" w:hAnsi="Times New Roman"/>
          <w:szCs w:val="24"/>
        </w:rPr>
        <w:t xml:space="preserve">2.3. </w:t>
      </w:r>
      <w:r>
        <w:rPr>
          <w:rFonts w:hint="eastAsia"/>
          <w:szCs w:val="24"/>
          <w:lang w:eastAsia="zh-CN"/>
        </w:rPr>
        <w:t>企业账号申领流程</w:t>
      </w:r>
      <w:r>
        <w:tab/>
      </w:r>
      <w:r>
        <w:fldChar w:fldCharType="begin"/>
      </w:r>
      <w:r>
        <w:instrText xml:space="preserve"> PAGEREF _Toc29051 </w:instrText>
      </w:r>
      <w:r>
        <w:fldChar w:fldCharType="separate"/>
      </w:r>
      <w:r>
        <w:t>2</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_Toc29530 </w:instrText>
      </w:r>
      <w:r>
        <w:rPr>
          <w:rFonts w:ascii="黑体" w:hAnsi="黑体" w:eastAsia="黑体"/>
          <w:bCs/>
          <w:caps/>
          <w:szCs w:val="28"/>
        </w:rPr>
        <w:fldChar w:fldCharType="separate"/>
      </w:r>
      <w:r>
        <w:t xml:space="preserve">2.4. </w:t>
      </w:r>
      <w:r>
        <w:rPr>
          <w:rFonts w:hint="eastAsia"/>
        </w:rPr>
        <w:t>企业角色</w:t>
      </w:r>
      <w:r>
        <w:rPr>
          <w:rFonts w:hint="eastAsia"/>
          <w:lang w:eastAsia="zh-CN"/>
        </w:rPr>
        <w:t>和填报说明</w:t>
      </w:r>
      <w:r>
        <w:tab/>
      </w:r>
      <w:r>
        <w:fldChar w:fldCharType="begin"/>
      </w:r>
      <w:r>
        <w:instrText xml:space="preserve"> PAGEREF _Toc29530 </w:instrText>
      </w:r>
      <w:r>
        <w:fldChar w:fldCharType="separate"/>
      </w:r>
      <w:r>
        <w:t>3</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_Toc31503 </w:instrText>
      </w:r>
      <w:r>
        <w:rPr>
          <w:rFonts w:ascii="黑体" w:hAnsi="黑体" w:eastAsia="黑体"/>
          <w:bCs/>
          <w:caps/>
          <w:szCs w:val="28"/>
        </w:rPr>
        <w:fldChar w:fldCharType="separate"/>
      </w:r>
      <w:r>
        <w:t xml:space="preserve">2.5. </w:t>
      </w:r>
      <w:r>
        <w:rPr>
          <w:rFonts w:hint="eastAsia"/>
        </w:rPr>
        <w:t>市局角色</w:t>
      </w:r>
      <w:r>
        <w:tab/>
      </w:r>
      <w:r>
        <w:fldChar w:fldCharType="begin"/>
      </w:r>
      <w:r>
        <w:instrText xml:space="preserve"> PAGEREF _Toc31503 </w:instrText>
      </w:r>
      <w:r>
        <w:fldChar w:fldCharType="separate"/>
      </w:r>
      <w:r>
        <w:t>20</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_Toc12392 </w:instrText>
      </w:r>
      <w:r>
        <w:rPr>
          <w:rFonts w:ascii="黑体" w:hAnsi="黑体" w:eastAsia="黑体"/>
          <w:bCs/>
          <w:caps/>
          <w:szCs w:val="28"/>
        </w:rPr>
        <w:fldChar w:fldCharType="separate"/>
      </w:r>
      <w:r>
        <w:t xml:space="preserve">2.6. </w:t>
      </w:r>
      <w:r>
        <w:rPr>
          <w:rFonts w:hint="eastAsia"/>
        </w:rPr>
        <w:t>省厅角色</w:t>
      </w:r>
      <w:r>
        <w:tab/>
      </w:r>
      <w:r>
        <w:fldChar w:fldCharType="begin"/>
      </w:r>
      <w:r>
        <w:instrText xml:space="preserve"> PAGEREF _Toc12392 </w:instrText>
      </w:r>
      <w:r>
        <w:fldChar w:fldCharType="separate"/>
      </w:r>
      <w:r>
        <w:t>23</w:t>
      </w:r>
      <w:r>
        <w:fldChar w:fldCharType="end"/>
      </w:r>
      <w:r>
        <w:rPr>
          <w:rFonts w:ascii="黑体" w:hAnsi="黑体" w:eastAsia="黑体"/>
          <w:bCs/>
          <w:caps/>
          <w:szCs w:val="28"/>
        </w:rPr>
        <w:fldChar w:fldCharType="end"/>
      </w:r>
    </w:p>
    <w:p>
      <w:pPr>
        <w:pStyle w:val="20"/>
        <w:tabs>
          <w:tab w:val="right" w:leader="dot" w:pos="8312"/>
          <w:tab w:val="clear" w:pos="42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_Toc3488 </w:instrText>
      </w:r>
      <w:r>
        <w:rPr>
          <w:rFonts w:ascii="黑体" w:hAnsi="黑体" w:eastAsia="黑体"/>
          <w:bCs/>
          <w:caps/>
          <w:szCs w:val="28"/>
        </w:rPr>
        <w:fldChar w:fldCharType="separate"/>
      </w:r>
      <w:r>
        <w:rPr>
          <w:rFonts w:hint="eastAsia"/>
        </w:rPr>
        <w:t>3. 附件：</w:t>
      </w:r>
      <w:r>
        <w:tab/>
      </w:r>
      <w:r>
        <w:fldChar w:fldCharType="begin"/>
      </w:r>
      <w:r>
        <w:instrText xml:space="preserve"> PAGEREF _Toc3488 </w:instrText>
      </w:r>
      <w:r>
        <w:fldChar w:fldCharType="separate"/>
      </w:r>
      <w:r>
        <w:t>36</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_Toc5657 </w:instrText>
      </w:r>
      <w:r>
        <w:rPr>
          <w:rFonts w:ascii="黑体" w:hAnsi="黑体" w:eastAsia="黑体"/>
          <w:bCs/>
          <w:caps/>
          <w:szCs w:val="28"/>
        </w:rPr>
        <w:fldChar w:fldCharType="separate"/>
      </w:r>
      <w:r>
        <w:rPr>
          <w:rFonts w:hint="default"/>
          <w:lang w:val="en-US" w:eastAsia="zh-CN"/>
        </w:rPr>
        <w:t>附件1</w:t>
      </w:r>
      <w:r>
        <w:rPr>
          <w:rFonts w:hint="eastAsia"/>
          <w:lang w:val="en-US" w:eastAsia="zh-CN"/>
        </w:rPr>
        <w:t>：</w:t>
      </w:r>
      <w:r>
        <w:rPr>
          <w:rFonts w:hint="eastAsia"/>
        </w:rPr>
        <w:t>操作说明图</w:t>
      </w:r>
      <w:r>
        <w:tab/>
      </w:r>
      <w:r>
        <w:fldChar w:fldCharType="begin"/>
      </w:r>
      <w:r>
        <w:instrText xml:space="preserve"> PAGEREF _Toc5657 </w:instrText>
      </w:r>
      <w:r>
        <w:fldChar w:fldCharType="separate"/>
      </w:r>
      <w:r>
        <w:t>36</w:t>
      </w:r>
      <w:r>
        <w:fldChar w:fldCharType="end"/>
      </w:r>
      <w:r>
        <w:rPr>
          <w:rFonts w:ascii="黑体" w:hAnsi="黑体" w:eastAsia="黑体"/>
          <w:bCs/>
          <w:caps/>
          <w:szCs w:val="28"/>
        </w:rPr>
        <w:fldChar w:fldCharType="end"/>
      </w:r>
    </w:p>
    <w:p>
      <w:pPr>
        <w:pStyle w:val="21"/>
        <w:tabs>
          <w:tab w:val="right" w:leader="dot" w:pos="8312"/>
          <w:tab w:val="clear" w:pos="1050"/>
          <w:tab w:val="clear" w:pos="8302"/>
        </w:tabs>
      </w:pPr>
      <w:r>
        <w:rPr>
          <w:rFonts w:ascii="黑体" w:hAnsi="黑体" w:eastAsia="黑体"/>
          <w:bCs/>
          <w:caps/>
          <w:szCs w:val="28"/>
        </w:rPr>
        <w:fldChar w:fldCharType="begin"/>
      </w:r>
      <w:r>
        <w:rPr>
          <w:rFonts w:ascii="黑体" w:hAnsi="黑体" w:eastAsia="黑体"/>
          <w:bCs/>
          <w:caps/>
          <w:szCs w:val="28"/>
        </w:rPr>
        <w:instrText xml:space="preserve"> HYPERLINK \l _Toc5247 </w:instrText>
      </w:r>
      <w:r>
        <w:rPr>
          <w:rFonts w:ascii="黑体" w:hAnsi="黑体" w:eastAsia="黑体"/>
          <w:bCs/>
          <w:caps/>
          <w:szCs w:val="28"/>
        </w:rPr>
        <w:fldChar w:fldCharType="separate"/>
      </w:r>
      <w:r>
        <w:rPr>
          <w:rFonts w:hint="default"/>
          <w:bCs/>
          <w:lang w:val="en-US" w:eastAsia="zh-CN"/>
        </w:rPr>
        <w:t>附件2</w:t>
      </w:r>
      <w:r>
        <w:rPr>
          <w:rFonts w:hint="eastAsia"/>
          <w:bCs/>
          <w:lang w:val="en-US" w:eastAsia="zh-CN"/>
        </w:rPr>
        <w:t>：</w:t>
      </w:r>
      <w:r>
        <w:rPr>
          <w:rFonts w:hint="eastAsia" w:ascii="方正小标宋简体" w:hAnsi="方正小标宋简体" w:eastAsia="方正小标宋简体" w:cs="方正小标宋简体"/>
          <w:szCs w:val="24"/>
          <w:lang w:val="en-US" w:eastAsia="zh-CN"/>
        </w:rPr>
        <w:t>账号（密码）变更申请表</w:t>
      </w:r>
      <w:r>
        <w:tab/>
      </w:r>
      <w:r>
        <w:fldChar w:fldCharType="begin"/>
      </w:r>
      <w:r>
        <w:instrText xml:space="preserve"> PAGEREF _Toc5247 </w:instrText>
      </w:r>
      <w:r>
        <w:fldChar w:fldCharType="separate"/>
      </w:r>
      <w:r>
        <w:t>38</w:t>
      </w:r>
      <w:r>
        <w:fldChar w:fldCharType="end"/>
      </w:r>
      <w:r>
        <w:rPr>
          <w:rFonts w:ascii="黑体" w:hAnsi="黑体" w:eastAsia="黑体"/>
          <w:bCs/>
          <w:caps/>
          <w:szCs w:val="28"/>
        </w:rPr>
        <w:fldChar w:fldCharType="end"/>
      </w:r>
    </w:p>
    <w:p>
      <w:pPr>
        <w:spacing w:beforeLines="0" w:afterLines="0" w:line="600" w:lineRule="exact"/>
        <w:outlineLvl w:val="0"/>
        <w:rPr>
          <w:rFonts w:ascii="黑体" w:hAnsi="黑体" w:eastAsia="黑体"/>
          <w:bCs/>
          <w:caps/>
          <w:szCs w:val="28"/>
        </w:rPr>
      </w:pPr>
      <w:r>
        <w:rPr>
          <w:rFonts w:ascii="黑体" w:hAnsi="黑体" w:eastAsia="黑体"/>
          <w:bCs/>
          <w:caps/>
          <w:szCs w:val="28"/>
        </w:rPr>
        <w:fldChar w:fldCharType="end"/>
      </w:r>
    </w:p>
    <w:p>
      <w:pPr>
        <w:spacing w:beforeLines="0" w:afterLines="0" w:line="600" w:lineRule="exact"/>
        <w:outlineLvl w:val="0"/>
        <w:rPr>
          <w:rFonts w:ascii="黑体" w:hAnsi="黑体" w:eastAsia="黑体"/>
          <w:bCs/>
          <w:caps/>
          <w:szCs w:val="28"/>
        </w:rPr>
      </w:pPr>
      <w:r>
        <w:rPr>
          <w:rFonts w:ascii="黑体" w:hAnsi="黑体" w:eastAsia="黑体"/>
          <w:bCs/>
          <w:caps/>
          <w:szCs w:val="28"/>
        </w:rPr>
        <w:br w:type="page"/>
      </w:r>
    </w:p>
    <w:p>
      <w:pPr>
        <w:spacing w:beforeLines="0" w:afterLines="0" w:line="600" w:lineRule="exact"/>
        <w:outlineLvl w:val="0"/>
        <w:rPr>
          <w:rFonts w:ascii="黑体" w:hAnsi="黑体" w:eastAsia="黑体"/>
          <w:bCs/>
          <w:caps/>
          <w:szCs w:val="28"/>
        </w:rPr>
      </w:pPr>
    </w:p>
    <w:p>
      <w:pPr>
        <w:pStyle w:val="54"/>
      </w:pPr>
      <w:r>
        <w:rPr>
          <w:rFonts w:hint="eastAsia"/>
        </w:rPr>
        <w:t>修订记录</w:t>
      </w:r>
    </w:p>
    <w:tbl>
      <w:tblPr>
        <w:tblStyle w:val="27"/>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373"/>
        <w:gridCol w:w="4277"/>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F3F3F3"/>
            <w:vAlign w:val="center"/>
          </w:tcPr>
          <w:p>
            <w:pPr>
              <w:jc w:val="center"/>
              <w:rPr>
                <w:b/>
                <w:bCs/>
              </w:rPr>
            </w:pPr>
            <w:r>
              <w:rPr>
                <w:rFonts w:hint="eastAsia"/>
                <w:b/>
                <w:bCs/>
              </w:rPr>
              <w:t>日期</w:t>
            </w:r>
          </w:p>
        </w:tc>
        <w:tc>
          <w:tcPr>
            <w:tcW w:w="1373" w:type="dxa"/>
            <w:shd w:val="clear" w:color="auto" w:fill="F3F3F3"/>
            <w:vAlign w:val="center"/>
          </w:tcPr>
          <w:p>
            <w:pPr>
              <w:jc w:val="center"/>
              <w:rPr>
                <w:b/>
                <w:bCs/>
              </w:rPr>
            </w:pPr>
            <w:r>
              <w:rPr>
                <w:rFonts w:hint="eastAsia"/>
                <w:b/>
                <w:bCs/>
              </w:rPr>
              <w:t>修订版本</w:t>
            </w:r>
          </w:p>
        </w:tc>
        <w:tc>
          <w:tcPr>
            <w:tcW w:w="4277" w:type="dxa"/>
            <w:shd w:val="clear" w:color="auto" w:fill="F3F3F3"/>
            <w:vAlign w:val="center"/>
          </w:tcPr>
          <w:p>
            <w:pPr>
              <w:jc w:val="center"/>
              <w:rPr>
                <w:b/>
                <w:bCs/>
              </w:rPr>
            </w:pPr>
            <w:r>
              <w:rPr>
                <w:rFonts w:hint="eastAsia"/>
                <w:b/>
                <w:bCs/>
              </w:rPr>
              <w:t>修改描述</w:t>
            </w:r>
          </w:p>
        </w:tc>
        <w:tc>
          <w:tcPr>
            <w:tcW w:w="996" w:type="dxa"/>
            <w:shd w:val="clear" w:color="auto" w:fill="F3F3F3"/>
            <w:vAlign w:val="center"/>
          </w:tcPr>
          <w:p>
            <w:pPr>
              <w:jc w:val="center"/>
              <w:rPr>
                <w:b/>
                <w:bCs/>
              </w:rPr>
            </w:pPr>
            <w:r>
              <w:rPr>
                <w:rFonts w:hint="eastAsia"/>
                <w:b/>
                <w:bCs/>
              </w:rPr>
              <w:t>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r>
              <w:rPr>
                <w:rFonts w:hint="eastAsia"/>
              </w:rPr>
              <w:t>20201009</w:t>
            </w:r>
          </w:p>
        </w:tc>
        <w:tc>
          <w:tcPr>
            <w:tcW w:w="1373" w:type="dxa"/>
            <w:shd w:val="clear" w:color="auto" w:fill="auto"/>
            <w:vAlign w:val="center"/>
          </w:tcPr>
          <w:p>
            <w:r>
              <w:rPr>
                <w:rFonts w:hint="eastAsia"/>
              </w:rPr>
              <w:t>V0.9</w:t>
            </w:r>
          </w:p>
        </w:tc>
        <w:tc>
          <w:tcPr>
            <w:tcW w:w="4277" w:type="dxa"/>
            <w:shd w:val="clear" w:color="auto" w:fill="auto"/>
            <w:vAlign w:val="center"/>
          </w:tcPr>
          <w:p>
            <w:r>
              <w:rPr>
                <w:rFonts w:hint="eastAsia"/>
              </w:rPr>
              <w:t>新建</w:t>
            </w:r>
          </w:p>
        </w:tc>
        <w:tc>
          <w:tcPr>
            <w:tcW w:w="996" w:type="dxa"/>
            <w:shd w:val="clear" w:color="auto" w:fill="auto"/>
            <w:vAlign w:val="center"/>
          </w:tcPr>
          <w:p>
            <w:r>
              <w:rPr>
                <w:rFonts w:hint="eastAsia"/>
              </w:rPr>
              <w:t>刘翰强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r>
              <w:t>20201010</w:t>
            </w:r>
          </w:p>
        </w:tc>
        <w:tc>
          <w:tcPr>
            <w:tcW w:w="1373" w:type="dxa"/>
            <w:shd w:val="clear" w:color="auto" w:fill="auto"/>
            <w:vAlign w:val="center"/>
          </w:tcPr>
          <w:p>
            <w:r>
              <w:rPr>
                <w:rFonts w:hint="eastAsia"/>
              </w:rPr>
              <w:t>V1.0</w:t>
            </w:r>
          </w:p>
        </w:tc>
        <w:tc>
          <w:tcPr>
            <w:tcW w:w="4277" w:type="dxa"/>
            <w:shd w:val="clear" w:color="auto" w:fill="auto"/>
            <w:vAlign w:val="center"/>
          </w:tcPr>
          <w:p>
            <w:r>
              <w:rPr>
                <w:rFonts w:hint="eastAsia"/>
              </w:rPr>
              <w:t>调整模板，增加截图</w:t>
            </w:r>
          </w:p>
        </w:tc>
        <w:tc>
          <w:tcPr>
            <w:tcW w:w="996" w:type="dxa"/>
            <w:shd w:val="clear" w:color="auto" w:fill="auto"/>
            <w:vAlign w:val="center"/>
          </w:tcPr>
          <w:p>
            <w:r>
              <w:rPr>
                <w:rFonts w:hint="eastAsia"/>
              </w:rPr>
              <w:t>刘翰强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r>
              <w:rPr>
                <w:rFonts w:hint="eastAsia"/>
              </w:rPr>
              <w:t>20201028</w:t>
            </w:r>
          </w:p>
        </w:tc>
        <w:tc>
          <w:tcPr>
            <w:tcW w:w="1373" w:type="dxa"/>
            <w:shd w:val="clear" w:color="auto" w:fill="auto"/>
            <w:vAlign w:val="center"/>
          </w:tcPr>
          <w:p>
            <w:r>
              <w:rPr>
                <w:rFonts w:hint="eastAsia"/>
              </w:rPr>
              <w:t>V2.0</w:t>
            </w:r>
          </w:p>
        </w:tc>
        <w:tc>
          <w:tcPr>
            <w:tcW w:w="4277" w:type="dxa"/>
            <w:shd w:val="clear" w:color="auto" w:fill="auto"/>
            <w:vAlign w:val="center"/>
          </w:tcPr>
          <w:p>
            <w:r>
              <w:rPr>
                <w:rFonts w:hint="eastAsia"/>
              </w:rPr>
              <w:t>调整模板，调整流程，更换截图</w:t>
            </w:r>
          </w:p>
        </w:tc>
        <w:tc>
          <w:tcPr>
            <w:tcW w:w="996" w:type="dxa"/>
            <w:shd w:val="clear" w:color="auto" w:fill="auto"/>
            <w:vAlign w:val="center"/>
          </w:tcPr>
          <w:p>
            <w:r>
              <w:rPr>
                <w:rFonts w:hint="eastAsia"/>
              </w:rPr>
              <w:t>曹玉硕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r>
              <w:rPr>
                <w:rFonts w:hint="eastAsia"/>
              </w:rPr>
              <w:t>2</w:t>
            </w:r>
            <w:r>
              <w:t>0201030</w:t>
            </w:r>
          </w:p>
        </w:tc>
        <w:tc>
          <w:tcPr>
            <w:tcW w:w="1373" w:type="dxa"/>
            <w:shd w:val="clear" w:color="auto" w:fill="auto"/>
            <w:vAlign w:val="center"/>
          </w:tcPr>
          <w:p>
            <w:r>
              <w:rPr>
                <w:rFonts w:hint="eastAsia"/>
              </w:rPr>
              <w:t>V</w:t>
            </w:r>
            <w:r>
              <w:t>2.1</w:t>
            </w:r>
          </w:p>
        </w:tc>
        <w:tc>
          <w:tcPr>
            <w:tcW w:w="4277" w:type="dxa"/>
            <w:shd w:val="clear" w:color="auto" w:fill="auto"/>
            <w:vAlign w:val="center"/>
          </w:tcPr>
          <w:p>
            <w:r>
              <w:rPr>
                <w:rFonts w:hint="eastAsia"/>
              </w:rPr>
              <w:t>添加推荐浏览器</w:t>
            </w:r>
          </w:p>
        </w:tc>
        <w:tc>
          <w:tcPr>
            <w:tcW w:w="996" w:type="dxa"/>
            <w:shd w:val="clear" w:color="auto" w:fill="auto"/>
            <w:vAlign w:val="center"/>
          </w:tcPr>
          <w:p>
            <w:r>
              <w:rPr>
                <w:rFonts w:hint="eastAsia"/>
              </w:rPr>
              <w:t>张吉震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r>
              <w:rPr>
                <w:rFonts w:hint="eastAsia"/>
              </w:rPr>
              <w:t>20201129</w:t>
            </w:r>
          </w:p>
        </w:tc>
        <w:tc>
          <w:tcPr>
            <w:tcW w:w="1373" w:type="dxa"/>
            <w:shd w:val="clear" w:color="auto" w:fill="auto"/>
            <w:vAlign w:val="center"/>
          </w:tcPr>
          <w:p>
            <w:r>
              <w:rPr>
                <w:rFonts w:hint="eastAsia"/>
              </w:rPr>
              <w:t>V</w:t>
            </w:r>
            <w:r>
              <w:t>2.2</w:t>
            </w:r>
          </w:p>
        </w:tc>
        <w:tc>
          <w:tcPr>
            <w:tcW w:w="4277" w:type="dxa"/>
            <w:shd w:val="clear" w:color="auto" w:fill="auto"/>
            <w:vAlign w:val="center"/>
          </w:tcPr>
          <w:p>
            <w:r>
              <w:rPr>
                <w:rFonts w:hint="eastAsia"/>
              </w:rPr>
              <w:t>添加填报时间的说明</w:t>
            </w:r>
          </w:p>
        </w:tc>
        <w:tc>
          <w:tcPr>
            <w:tcW w:w="996" w:type="dxa"/>
            <w:shd w:val="clear" w:color="auto" w:fill="auto"/>
            <w:vAlign w:val="center"/>
          </w:tcPr>
          <w:p>
            <w:r>
              <w:rPr>
                <w:rFonts w:hint="eastAsia"/>
              </w:rPr>
              <w:t>陈博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r>
              <w:rPr>
                <w:rFonts w:hint="eastAsia"/>
              </w:rPr>
              <w:t>2</w:t>
            </w:r>
            <w:r>
              <w:t>0201221</w:t>
            </w:r>
          </w:p>
        </w:tc>
        <w:tc>
          <w:tcPr>
            <w:tcW w:w="1373" w:type="dxa"/>
            <w:shd w:val="clear" w:color="auto" w:fill="auto"/>
            <w:vAlign w:val="center"/>
          </w:tcPr>
          <w:p>
            <w:r>
              <w:rPr>
                <w:rFonts w:hint="eastAsia"/>
              </w:rPr>
              <w:t>V</w:t>
            </w:r>
            <w:r>
              <w:t>2.3</w:t>
            </w:r>
          </w:p>
        </w:tc>
        <w:tc>
          <w:tcPr>
            <w:tcW w:w="4277" w:type="dxa"/>
            <w:shd w:val="clear" w:color="auto" w:fill="auto"/>
            <w:vAlign w:val="center"/>
          </w:tcPr>
          <w:p>
            <w:r>
              <w:rPr>
                <w:rFonts w:hint="eastAsia"/>
              </w:rPr>
              <w:t>添加操作说明附图</w:t>
            </w:r>
          </w:p>
        </w:tc>
        <w:tc>
          <w:tcPr>
            <w:tcW w:w="996" w:type="dxa"/>
            <w:shd w:val="clear" w:color="auto" w:fill="auto"/>
            <w:vAlign w:val="center"/>
          </w:tcPr>
          <w:p>
            <w:r>
              <w:rPr>
                <w:rFonts w:hint="eastAsia"/>
              </w:rPr>
              <w:t>陈博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pPr>
              <w:rPr>
                <w:rFonts w:hint="default" w:eastAsia="宋体"/>
                <w:lang w:val="en-US" w:eastAsia="zh-CN"/>
              </w:rPr>
            </w:pPr>
            <w:r>
              <w:rPr>
                <w:rFonts w:hint="eastAsia"/>
                <w:lang w:val="en-US" w:eastAsia="zh-CN"/>
              </w:rPr>
              <w:t>20201222</w:t>
            </w:r>
          </w:p>
        </w:tc>
        <w:tc>
          <w:tcPr>
            <w:tcW w:w="1373" w:type="dxa"/>
            <w:shd w:val="clear" w:color="auto" w:fill="auto"/>
            <w:vAlign w:val="center"/>
          </w:tcPr>
          <w:p>
            <w:pPr>
              <w:rPr>
                <w:rFonts w:hint="default" w:eastAsia="宋体"/>
                <w:lang w:val="en-US" w:eastAsia="zh-CN"/>
              </w:rPr>
            </w:pPr>
            <w:r>
              <w:rPr>
                <w:rFonts w:hint="eastAsia"/>
                <w:lang w:val="en-US" w:eastAsia="zh-CN"/>
              </w:rPr>
              <w:t>V2.4</w:t>
            </w:r>
          </w:p>
        </w:tc>
        <w:tc>
          <w:tcPr>
            <w:tcW w:w="4277" w:type="dxa"/>
            <w:shd w:val="clear" w:color="auto" w:fill="auto"/>
            <w:vAlign w:val="center"/>
          </w:tcPr>
          <w:p>
            <w:pPr>
              <w:rPr>
                <w:rFonts w:hint="default" w:eastAsia="宋体"/>
                <w:lang w:val="en-US" w:eastAsia="zh-CN"/>
              </w:rPr>
            </w:pPr>
            <w:r>
              <w:rPr>
                <w:rFonts w:hint="eastAsia"/>
                <w:lang w:val="en-US" w:eastAsia="zh-CN"/>
              </w:rPr>
              <w:t>修改企业填报流程说明、增加截图</w:t>
            </w:r>
          </w:p>
        </w:tc>
        <w:tc>
          <w:tcPr>
            <w:tcW w:w="996" w:type="dxa"/>
            <w:shd w:val="clear" w:color="auto" w:fill="auto"/>
            <w:vAlign w:val="center"/>
          </w:tcPr>
          <w:p>
            <w:pPr>
              <w:rPr>
                <w:rFonts w:hint="eastAsia" w:eastAsia="宋体"/>
                <w:lang w:val="en-US" w:eastAsia="zh-CN"/>
              </w:rPr>
            </w:pPr>
            <w:r>
              <w:rPr>
                <w:rFonts w:hint="eastAsia"/>
                <w:lang w:val="en-US" w:eastAsia="zh-CN"/>
              </w:rPr>
              <w:t>曹玉硕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pPr>
              <w:rPr>
                <w:rFonts w:hint="eastAsia"/>
                <w:lang w:val="en-US" w:eastAsia="zh-CN"/>
              </w:rPr>
            </w:pPr>
          </w:p>
        </w:tc>
        <w:tc>
          <w:tcPr>
            <w:tcW w:w="1373" w:type="dxa"/>
            <w:shd w:val="clear" w:color="auto" w:fill="auto"/>
            <w:vAlign w:val="center"/>
          </w:tcPr>
          <w:p>
            <w:pPr>
              <w:rPr>
                <w:rFonts w:hint="eastAsia"/>
                <w:lang w:val="en-US" w:eastAsia="zh-CN"/>
              </w:rPr>
            </w:pPr>
          </w:p>
        </w:tc>
        <w:tc>
          <w:tcPr>
            <w:tcW w:w="4277" w:type="dxa"/>
            <w:shd w:val="clear" w:color="auto" w:fill="auto"/>
            <w:vAlign w:val="center"/>
          </w:tcPr>
          <w:p>
            <w:pPr>
              <w:rPr>
                <w:rFonts w:hint="eastAsia"/>
                <w:lang w:val="en-US" w:eastAsia="zh-CN"/>
              </w:rPr>
            </w:pPr>
          </w:p>
        </w:tc>
        <w:tc>
          <w:tcPr>
            <w:tcW w:w="996" w:type="dxa"/>
            <w:shd w:val="clear" w:color="auto" w:fill="auto"/>
            <w:vAlign w:val="center"/>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pPr>
              <w:rPr>
                <w:rFonts w:hint="eastAsia"/>
                <w:lang w:val="en-US" w:eastAsia="zh-CN"/>
              </w:rPr>
            </w:pPr>
          </w:p>
        </w:tc>
        <w:tc>
          <w:tcPr>
            <w:tcW w:w="1373" w:type="dxa"/>
            <w:shd w:val="clear" w:color="auto" w:fill="auto"/>
            <w:vAlign w:val="center"/>
          </w:tcPr>
          <w:p>
            <w:pPr>
              <w:rPr>
                <w:rFonts w:hint="eastAsia"/>
                <w:lang w:val="en-US" w:eastAsia="zh-CN"/>
              </w:rPr>
            </w:pPr>
          </w:p>
        </w:tc>
        <w:tc>
          <w:tcPr>
            <w:tcW w:w="4277" w:type="dxa"/>
            <w:shd w:val="clear" w:color="auto" w:fill="auto"/>
            <w:vAlign w:val="center"/>
          </w:tcPr>
          <w:p>
            <w:pPr>
              <w:rPr>
                <w:rFonts w:hint="eastAsia"/>
                <w:lang w:val="en-US" w:eastAsia="zh-CN"/>
              </w:rPr>
            </w:pPr>
          </w:p>
        </w:tc>
        <w:tc>
          <w:tcPr>
            <w:tcW w:w="996" w:type="dxa"/>
            <w:shd w:val="clear" w:color="auto" w:fill="auto"/>
            <w:vAlign w:val="center"/>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pPr>
              <w:rPr>
                <w:rFonts w:hint="eastAsia"/>
                <w:lang w:val="en-US" w:eastAsia="zh-CN"/>
              </w:rPr>
            </w:pPr>
          </w:p>
        </w:tc>
        <w:tc>
          <w:tcPr>
            <w:tcW w:w="1373" w:type="dxa"/>
            <w:shd w:val="clear" w:color="auto" w:fill="auto"/>
            <w:vAlign w:val="center"/>
          </w:tcPr>
          <w:p>
            <w:pPr>
              <w:rPr>
                <w:rFonts w:hint="eastAsia"/>
                <w:lang w:val="en-US" w:eastAsia="zh-CN"/>
              </w:rPr>
            </w:pPr>
          </w:p>
        </w:tc>
        <w:tc>
          <w:tcPr>
            <w:tcW w:w="4277" w:type="dxa"/>
            <w:shd w:val="clear" w:color="auto" w:fill="auto"/>
            <w:vAlign w:val="center"/>
          </w:tcPr>
          <w:p>
            <w:pPr>
              <w:rPr>
                <w:rFonts w:hint="eastAsia"/>
                <w:lang w:val="en-US" w:eastAsia="zh-CN"/>
              </w:rPr>
            </w:pPr>
          </w:p>
        </w:tc>
        <w:tc>
          <w:tcPr>
            <w:tcW w:w="996" w:type="dxa"/>
            <w:shd w:val="clear" w:color="auto" w:fill="auto"/>
            <w:vAlign w:val="center"/>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pPr>
              <w:rPr>
                <w:rFonts w:hint="eastAsia"/>
                <w:lang w:val="en-US" w:eastAsia="zh-CN"/>
              </w:rPr>
            </w:pPr>
          </w:p>
        </w:tc>
        <w:tc>
          <w:tcPr>
            <w:tcW w:w="1373" w:type="dxa"/>
            <w:shd w:val="clear" w:color="auto" w:fill="auto"/>
            <w:vAlign w:val="center"/>
          </w:tcPr>
          <w:p>
            <w:pPr>
              <w:rPr>
                <w:rFonts w:hint="eastAsia"/>
                <w:lang w:val="en-US" w:eastAsia="zh-CN"/>
              </w:rPr>
            </w:pPr>
          </w:p>
        </w:tc>
        <w:tc>
          <w:tcPr>
            <w:tcW w:w="4277" w:type="dxa"/>
            <w:shd w:val="clear" w:color="auto" w:fill="auto"/>
            <w:vAlign w:val="center"/>
          </w:tcPr>
          <w:p>
            <w:pPr>
              <w:rPr>
                <w:rFonts w:hint="eastAsia"/>
                <w:lang w:val="en-US" w:eastAsia="zh-CN"/>
              </w:rPr>
            </w:pPr>
          </w:p>
        </w:tc>
        <w:tc>
          <w:tcPr>
            <w:tcW w:w="996" w:type="dxa"/>
            <w:shd w:val="clear" w:color="auto" w:fill="auto"/>
            <w:vAlign w:val="center"/>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pPr>
              <w:rPr>
                <w:rFonts w:hint="eastAsia"/>
                <w:lang w:val="en-US" w:eastAsia="zh-CN"/>
              </w:rPr>
            </w:pPr>
          </w:p>
        </w:tc>
        <w:tc>
          <w:tcPr>
            <w:tcW w:w="1373" w:type="dxa"/>
            <w:shd w:val="clear" w:color="auto" w:fill="auto"/>
            <w:vAlign w:val="center"/>
          </w:tcPr>
          <w:p>
            <w:pPr>
              <w:rPr>
                <w:rFonts w:hint="eastAsia"/>
                <w:lang w:val="en-US" w:eastAsia="zh-CN"/>
              </w:rPr>
            </w:pPr>
          </w:p>
        </w:tc>
        <w:tc>
          <w:tcPr>
            <w:tcW w:w="4277" w:type="dxa"/>
            <w:shd w:val="clear" w:color="auto" w:fill="auto"/>
            <w:vAlign w:val="center"/>
          </w:tcPr>
          <w:p>
            <w:pPr>
              <w:rPr>
                <w:rFonts w:hint="eastAsia"/>
                <w:lang w:val="en-US" w:eastAsia="zh-CN"/>
              </w:rPr>
            </w:pPr>
          </w:p>
        </w:tc>
        <w:tc>
          <w:tcPr>
            <w:tcW w:w="996" w:type="dxa"/>
            <w:shd w:val="clear" w:color="auto" w:fill="auto"/>
            <w:vAlign w:val="center"/>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pPr>
              <w:rPr>
                <w:rFonts w:hint="eastAsia"/>
                <w:lang w:val="en-US" w:eastAsia="zh-CN"/>
              </w:rPr>
            </w:pPr>
          </w:p>
        </w:tc>
        <w:tc>
          <w:tcPr>
            <w:tcW w:w="1373" w:type="dxa"/>
            <w:shd w:val="clear" w:color="auto" w:fill="auto"/>
            <w:vAlign w:val="center"/>
          </w:tcPr>
          <w:p>
            <w:pPr>
              <w:rPr>
                <w:rFonts w:hint="eastAsia"/>
                <w:lang w:val="en-US" w:eastAsia="zh-CN"/>
              </w:rPr>
            </w:pPr>
          </w:p>
        </w:tc>
        <w:tc>
          <w:tcPr>
            <w:tcW w:w="4277" w:type="dxa"/>
            <w:shd w:val="clear" w:color="auto" w:fill="auto"/>
            <w:vAlign w:val="center"/>
          </w:tcPr>
          <w:p>
            <w:pPr>
              <w:rPr>
                <w:rFonts w:hint="eastAsia"/>
                <w:lang w:val="en-US" w:eastAsia="zh-CN"/>
              </w:rPr>
            </w:pPr>
          </w:p>
        </w:tc>
        <w:tc>
          <w:tcPr>
            <w:tcW w:w="996" w:type="dxa"/>
            <w:shd w:val="clear" w:color="auto" w:fill="auto"/>
            <w:vAlign w:val="center"/>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pPr>
              <w:rPr>
                <w:rFonts w:hint="eastAsia"/>
                <w:lang w:val="en-US" w:eastAsia="zh-CN"/>
              </w:rPr>
            </w:pPr>
          </w:p>
        </w:tc>
        <w:tc>
          <w:tcPr>
            <w:tcW w:w="1373" w:type="dxa"/>
            <w:shd w:val="clear" w:color="auto" w:fill="auto"/>
            <w:vAlign w:val="center"/>
          </w:tcPr>
          <w:p>
            <w:pPr>
              <w:rPr>
                <w:rFonts w:hint="eastAsia"/>
                <w:lang w:val="en-US" w:eastAsia="zh-CN"/>
              </w:rPr>
            </w:pPr>
          </w:p>
        </w:tc>
        <w:tc>
          <w:tcPr>
            <w:tcW w:w="4277" w:type="dxa"/>
            <w:shd w:val="clear" w:color="auto" w:fill="auto"/>
            <w:vAlign w:val="center"/>
          </w:tcPr>
          <w:p>
            <w:pPr>
              <w:rPr>
                <w:rFonts w:hint="eastAsia"/>
                <w:lang w:val="en-US" w:eastAsia="zh-CN"/>
              </w:rPr>
            </w:pPr>
          </w:p>
        </w:tc>
        <w:tc>
          <w:tcPr>
            <w:tcW w:w="996" w:type="dxa"/>
            <w:shd w:val="clear" w:color="auto" w:fill="auto"/>
            <w:vAlign w:val="center"/>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6" w:type="dxa"/>
            <w:shd w:val="clear" w:color="auto" w:fill="auto"/>
            <w:vAlign w:val="center"/>
          </w:tcPr>
          <w:p>
            <w:pPr>
              <w:rPr>
                <w:rFonts w:hint="eastAsia"/>
                <w:lang w:val="en-US" w:eastAsia="zh-CN"/>
              </w:rPr>
            </w:pPr>
          </w:p>
        </w:tc>
        <w:tc>
          <w:tcPr>
            <w:tcW w:w="1373" w:type="dxa"/>
            <w:shd w:val="clear" w:color="auto" w:fill="auto"/>
            <w:vAlign w:val="center"/>
          </w:tcPr>
          <w:p>
            <w:pPr>
              <w:rPr>
                <w:rFonts w:hint="eastAsia"/>
                <w:lang w:val="en-US" w:eastAsia="zh-CN"/>
              </w:rPr>
            </w:pPr>
          </w:p>
        </w:tc>
        <w:tc>
          <w:tcPr>
            <w:tcW w:w="4277" w:type="dxa"/>
            <w:shd w:val="clear" w:color="auto" w:fill="auto"/>
            <w:vAlign w:val="center"/>
          </w:tcPr>
          <w:p>
            <w:pPr>
              <w:rPr>
                <w:rFonts w:hint="eastAsia"/>
                <w:lang w:val="en-US" w:eastAsia="zh-CN"/>
              </w:rPr>
            </w:pPr>
          </w:p>
        </w:tc>
        <w:tc>
          <w:tcPr>
            <w:tcW w:w="996" w:type="dxa"/>
            <w:shd w:val="clear" w:color="auto" w:fill="auto"/>
            <w:vAlign w:val="center"/>
          </w:tcPr>
          <w:p>
            <w:pPr>
              <w:rPr>
                <w:rFonts w:hint="eastAsia"/>
                <w:lang w:val="en-US" w:eastAsia="zh-CN"/>
              </w:rPr>
            </w:pPr>
          </w:p>
        </w:tc>
      </w:tr>
    </w:tbl>
    <w:p/>
    <w:p>
      <w:pPr>
        <w:spacing w:beforeLines="0" w:afterLines="0" w:line="600" w:lineRule="exact"/>
        <w:outlineLvl w:val="0"/>
        <w:rPr>
          <w:rFonts w:ascii="黑体" w:hAnsi="黑体" w:eastAsia="黑体"/>
          <w:bCs/>
          <w:caps/>
          <w:szCs w:val="28"/>
        </w:rPr>
        <w:sectPr>
          <w:headerReference r:id="rId3" w:type="default"/>
          <w:type w:val="continuous"/>
          <w:pgSz w:w="11906" w:h="16838"/>
          <w:pgMar w:top="1440" w:right="1797" w:bottom="1440" w:left="1797" w:header="851" w:footer="992" w:gutter="0"/>
          <w:pgNumType w:start="1"/>
          <w:cols w:space="425" w:num="1"/>
          <w:docGrid w:type="lines" w:linePitch="312" w:charSpace="0"/>
        </w:sectPr>
      </w:pPr>
    </w:p>
    <w:p>
      <w:pPr>
        <w:pStyle w:val="2"/>
      </w:pPr>
      <w:bookmarkStart w:id="0" w:name="_Toc14207"/>
      <w:bookmarkStart w:id="1" w:name="_Toc25723"/>
      <w:bookmarkStart w:id="2" w:name="_Toc13214"/>
      <w:bookmarkStart w:id="3" w:name="_Toc18022"/>
      <w:bookmarkStart w:id="4" w:name="_Toc10551"/>
      <w:bookmarkStart w:id="5" w:name="_Toc8955"/>
      <w:bookmarkStart w:id="6" w:name="_Toc29998"/>
      <w:bookmarkStart w:id="7" w:name="_Toc20954"/>
      <w:bookmarkStart w:id="8" w:name="_Toc10599"/>
      <w:r>
        <w:rPr>
          <w:rFonts w:hint="eastAsia"/>
        </w:rPr>
        <w:t>概述</w:t>
      </w:r>
      <w:bookmarkEnd w:id="0"/>
      <w:bookmarkEnd w:id="1"/>
      <w:bookmarkEnd w:id="2"/>
      <w:bookmarkEnd w:id="3"/>
      <w:bookmarkEnd w:id="4"/>
      <w:bookmarkEnd w:id="5"/>
      <w:bookmarkEnd w:id="6"/>
      <w:bookmarkEnd w:id="7"/>
      <w:bookmarkEnd w:id="8"/>
    </w:p>
    <w:p>
      <w:pPr>
        <w:pStyle w:val="3"/>
      </w:pPr>
      <w:bookmarkStart w:id="9" w:name="_Toc19844"/>
      <w:bookmarkStart w:id="10" w:name="_Toc6929"/>
      <w:bookmarkStart w:id="11" w:name="_Toc31991"/>
      <w:bookmarkStart w:id="12" w:name="_Toc7161"/>
      <w:bookmarkStart w:id="13" w:name="_Toc19489"/>
      <w:bookmarkStart w:id="14" w:name="_Toc28129"/>
      <w:bookmarkStart w:id="15" w:name="_Toc21456"/>
      <w:bookmarkStart w:id="16" w:name="_Toc2104"/>
      <w:bookmarkStart w:id="17" w:name="_Toc29479"/>
      <w:r>
        <w:rPr>
          <w:rFonts w:hint="eastAsia"/>
        </w:rPr>
        <w:t>系统背景</w:t>
      </w:r>
      <w:bookmarkEnd w:id="9"/>
      <w:bookmarkEnd w:id="10"/>
      <w:bookmarkEnd w:id="11"/>
      <w:bookmarkEnd w:id="12"/>
      <w:bookmarkEnd w:id="13"/>
      <w:bookmarkEnd w:id="14"/>
      <w:bookmarkEnd w:id="15"/>
      <w:bookmarkEnd w:id="16"/>
      <w:bookmarkEnd w:id="17"/>
    </w:p>
    <w:p>
      <w:pPr>
        <w:ind w:firstLine="0" w:firstLineChars="0"/>
      </w:pPr>
      <w:r>
        <w:rPr>
          <w:rFonts w:hint="eastAsia"/>
        </w:rPr>
        <w:t>为了解全省盐业工业生产经营活动基本情况，为有关部门制定政策和规划、</w:t>
      </w:r>
      <w:r>
        <w:rPr>
          <w:rFonts w:hint="eastAsia"/>
          <w:lang w:eastAsia="zh-CN"/>
        </w:rPr>
        <w:t>进行行业</w:t>
      </w:r>
      <w:r>
        <w:rPr>
          <w:rFonts w:hint="eastAsia"/>
        </w:rPr>
        <w:t>管理提供</w:t>
      </w:r>
      <w:r>
        <w:rPr>
          <w:rFonts w:hint="eastAsia"/>
          <w:lang w:eastAsia="zh-CN"/>
        </w:rPr>
        <w:t>行业数据支撑</w:t>
      </w:r>
      <w:r>
        <w:rPr>
          <w:rFonts w:hint="eastAsia"/>
        </w:rPr>
        <w:t>，确保我省盐</w:t>
      </w:r>
      <w:r>
        <w:rPr>
          <w:rFonts w:hint="eastAsia"/>
          <w:lang w:eastAsia="zh-CN"/>
        </w:rPr>
        <w:t>行业</w:t>
      </w:r>
      <w:r>
        <w:rPr>
          <w:rFonts w:hint="eastAsia"/>
        </w:rPr>
        <w:t>健康</w:t>
      </w:r>
      <w:r>
        <w:rPr>
          <w:rFonts w:hint="eastAsia"/>
          <w:lang w:eastAsia="zh-CN"/>
        </w:rPr>
        <w:t>持续高质量发展</w:t>
      </w:r>
      <w:r>
        <w:rPr>
          <w:rFonts w:hint="eastAsia"/>
          <w:lang w:val="en-US" w:eastAsia="zh-CN"/>
        </w:rPr>
        <w:t>，</w:t>
      </w:r>
      <w:r>
        <w:rPr>
          <w:rFonts w:hint="eastAsia"/>
        </w:rPr>
        <w:t>经</w:t>
      </w:r>
      <w:r>
        <w:rPr>
          <w:rFonts w:hint="eastAsia"/>
          <w:lang w:eastAsia="zh-CN"/>
        </w:rPr>
        <w:t>山东</w:t>
      </w:r>
      <w:r>
        <w:rPr>
          <w:rFonts w:hint="eastAsia"/>
        </w:rPr>
        <w:t>省统计局批复同意</w:t>
      </w:r>
      <w:r>
        <w:rPr>
          <w:rFonts w:hint="eastAsia"/>
          <w:lang w:eastAsia="zh-CN"/>
        </w:rPr>
        <w:t>，现在山东省内开展盐业企业统计调查</w:t>
      </w:r>
      <w:r>
        <w:rPr>
          <w:rFonts w:hint="eastAsia"/>
        </w:rPr>
        <w:t>，上线本系统对行业情况进行跟踪监测。</w:t>
      </w:r>
    </w:p>
    <w:p>
      <w:pPr>
        <w:pStyle w:val="3"/>
      </w:pPr>
      <w:bookmarkStart w:id="18" w:name="_Toc32634"/>
      <w:bookmarkStart w:id="19" w:name="_Toc28525"/>
      <w:bookmarkStart w:id="20" w:name="_Toc331"/>
      <w:bookmarkStart w:id="21" w:name="_Toc22016"/>
      <w:bookmarkStart w:id="22" w:name="_Toc28437"/>
      <w:bookmarkStart w:id="23" w:name="_Toc28190"/>
      <w:bookmarkStart w:id="24" w:name="_Toc19326"/>
      <w:bookmarkStart w:id="25" w:name="_Toc12357"/>
      <w:bookmarkStart w:id="26" w:name="_Toc14085"/>
      <w:r>
        <w:rPr>
          <w:rFonts w:hint="eastAsia"/>
        </w:rPr>
        <w:t>系统推荐</w:t>
      </w:r>
      <w:bookmarkEnd w:id="18"/>
      <w:bookmarkEnd w:id="19"/>
      <w:bookmarkEnd w:id="20"/>
      <w:bookmarkEnd w:id="21"/>
      <w:bookmarkEnd w:id="22"/>
      <w:bookmarkEnd w:id="23"/>
      <w:bookmarkEnd w:id="24"/>
      <w:bookmarkEnd w:id="25"/>
      <w:bookmarkEnd w:id="26"/>
    </w:p>
    <w:p>
      <w:r>
        <w:rPr>
          <w:rFonts w:hint="eastAsia"/>
        </w:rPr>
        <w:t>推荐使用浏览器：Chrome</w:t>
      </w:r>
      <w:r>
        <w:t xml:space="preserve"> 86.0</w:t>
      </w:r>
      <w:r>
        <w:rPr>
          <w:rFonts w:hint="eastAsia"/>
        </w:rPr>
        <w:t>或更高版本</w:t>
      </w:r>
    </w:p>
    <w:p>
      <w:pPr>
        <w:pStyle w:val="3"/>
      </w:pPr>
      <w:bookmarkStart w:id="27" w:name="_Toc27883"/>
      <w:bookmarkStart w:id="28" w:name="_Toc3857"/>
      <w:bookmarkStart w:id="29" w:name="_Toc21832"/>
      <w:bookmarkStart w:id="30" w:name="_Toc3668"/>
      <w:bookmarkStart w:id="31" w:name="_Toc31464"/>
      <w:bookmarkStart w:id="32" w:name="_Toc12208"/>
      <w:bookmarkStart w:id="33" w:name="_Toc28863"/>
      <w:bookmarkStart w:id="34" w:name="_Toc4960"/>
      <w:bookmarkStart w:id="35" w:name="_Toc27315"/>
      <w:r>
        <w:rPr>
          <w:rFonts w:hint="eastAsia"/>
        </w:rPr>
        <w:t>系统</w:t>
      </w:r>
      <w:r>
        <w:rPr>
          <w:rFonts w:hint="eastAsia"/>
          <w:lang w:eastAsia="zh-CN"/>
        </w:rPr>
        <w:t>角色和</w:t>
      </w:r>
      <w:r>
        <w:rPr>
          <w:rFonts w:hint="eastAsia"/>
        </w:rPr>
        <w:t>功能</w:t>
      </w:r>
      <w:bookmarkEnd w:id="27"/>
      <w:bookmarkEnd w:id="28"/>
      <w:bookmarkEnd w:id="29"/>
      <w:bookmarkEnd w:id="30"/>
      <w:bookmarkEnd w:id="31"/>
      <w:bookmarkEnd w:id="32"/>
      <w:bookmarkEnd w:id="33"/>
      <w:bookmarkEnd w:id="34"/>
      <w:bookmarkEnd w:id="35"/>
    </w:p>
    <w:tbl>
      <w:tblPr>
        <w:tblStyle w:val="27"/>
        <w:tblW w:w="9498" w:type="dxa"/>
        <w:jc w:val="center"/>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
      <w:tblGrid>
        <w:gridCol w:w="1166"/>
        <w:gridCol w:w="927"/>
        <w:gridCol w:w="1902"/>
        <w:gridCol w:w="5503"/>
      </w:tblGrid>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435" w:hRule="atLeast"/>
          <w:jc w:val="center"/>
        </w:trPr>
        <w:tc>
          <w:tcPr>
            <w:tcW w:w="1166" w:type="dxa"/>
            <w:tcBorders>
              <w:top w:val="single" w:color="4F81BD" w:sz="8" w:space="0"/>
              <w:left w:val="single" w:color="4F81BD" w:sz="8" w:space="0"/>
              <w:bottom w:val="single" w:color="FFFFFF" w:sz="18" w:space="0"/>
              <w:right w:val="single" w:color="4F81BD" w:sz="8" w:space="0"/>
            </w:tcBorders>
            <w:shd w:val="clear" w:color="auto" w:fill="4F81BD"/>
          </w:tcPr>
          <w:p>
            <w:pPr>
              <w:jc w:val="center"/>
              <w:rPr>
                <w:color w:val="FFFFFF"/>
              </w:rPr>
            </w:pPr>
            <w:r>
              <w:rPr>
                <w:rFonts w:hint="eastAsia"/>
                <w:b/>
                <w:bCs/>
                <w:color w:val="FFFFFF"/>
              </w:rPr>
              <w:t>系统</w:t>
            </w:r>
          </w:p>
        </w:tc>
        <w:tc>
          <w:tcPr>
            <w:tcW w:w="927" w:type="dxa"/>
            <w:tcBorders>
              <w:top w:val="single" w:color="4F81BD" w:sz="8" w:space="0"/>
              <w:left w:val="single" w:color="4F81BD" w:sz="8" w:space="0"/>
              <w:bottom w:val="single" w:color="FFFFFF" w:sz="18" w:space="0"/>
              <w:right w:val="single" w:color="4F81BD" w:sz="8" w:space="0"/>
            </w:tcBorders>
            <w:shd w:val="clear" w:color="auto" w:fill="4F81BD"/>
          </w:tcPr>
          <w:p>
            <w:pPr>
              <w:jc w:val="center"/>
              <w:rPr>
                <w:color w:val="FFFFFF"/>
              </w:rPr>
            </w:pPr>
            <w:r>
              <w:rPr>
                <w:rFonts w:hint="eastAsia"/>
                <w:b/>
                <w:bCs/>
                <w:color w:val="FFFFFF"/>
              </w:rPr>
              <w:t>角色</w:t>
            </w:r>
          </w:p>
        </w:tc>
        <w:tc>
          <w:tcPr>
            <w:tcW w:w="1902" w:type="dxa"/>
            <w:tcBorders>
              <w:top w:val="single" w:color="4F81BD" w:sz="8" w:space="0"/>
              <w:left w:val="single" w:color="4F81BD" w:sz="8" w:space="0"/>
              <w:bottom w:val="single" w:color="FFFFFF" w:sz="18" w:space="0"/>
              <w:right w:val="single" w:color="4F81BD" w:sz="8" w:space="0"/>
            </w:tcBorders>
            <w:shd w:val="clear" w:color="auto" w:fill="4F81BD"/>
          </w:tcPr>
          <w:p>
            <w:pPr>
              <w:jc w:val="center"/>
              <w:rPr>
                <w:color w:val="FFFFFF"/>
              </w:rPr>
            </w:pPr>
            <w:r>
              <w:rPr>
                <w:rFonts w:hint="eastAsia"/>
                <w:b/>
                <w:bCs/>
                <w:color w:val="FFFFFF"/>
              </w:rPr>
              <w:t>菜单</w:t>
            </w:r>
          </w:p>
        </w:tc>
        <w:tc>
          <w:tcPr>
            <w:tcW w:w="5503" w:type="dxa"/>
            <w:tcBorders>
              <w:top w:val="single" w:color="4F81BD" w:sz="8" w:space="0"/>
              <w:left w:val="single" w:color="4F81BD" w:sz="8" w:space="0"/>
              <w:bottom w:val="single" w:color="FFFFFF" w:sz="18" w:space="0"/>
              <w:right w:val="single" w:color="4F81BD" w:sz="8" w:space="0"/>
            </w:tcBorders>
            <w:shd w:val="clear" w:color="auto" w:fill="4F81BD"/>
          </w:tcPr>
          <w:p>
            <w:pPr>
              <w:jc w:val="center"/>
              <w:rPr>
                <w:color w:val="FFFFFF"/>
              </w:rPr>
            </w:pPr>
            <w:r>
              <w:rPr>
                <w:rFonts w:hint="eastAsia"/>
                <w:b/>
                <w:bCs/>
                <w:color w:val="FFFFFF"/>
              </w:rPr>
              <w:t>功能点</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468" w:hRule="atLeast"/>
          <w:jc w:val="center"/>
        </w:trPr>
        <w:tc>
          <w:tcPr>
            <w:tcW w:w="1166" w:type="dxa"/>
            <w:vMerge w:val="restart"/>
            <w:tcBorders>
              <w:top w:val="single" w:color="FFFFFF" w:sz="18" w:space="0"/>
              <w:left w:val="single" w:color="4F81BD" w:sz="8" w:space="0"/>
              <w:bottom w:val="single" w:color="4F81BD" w:sz="8" w:space="0"/>
              <w:right w:val="single" w:color="4F81BD" w:sz="8" w:space="0"/>
            </w:tcBorders>
            <w:shd w:val="clear" w:color="auto" w:fill="B8CCE4"/>
            <w:vAlign w:val="center"/>
          </w:tcPr>
          <w:p>
            <w:pPr>
              <w:jc w:val="center"/>
              <w:rPr>
                <w:color w:val="000000"/>
              </w:rPr>
            </w:pPr>
            <w:r>
              <w:rPr>
                <w:rFonts w:hint="eastAsia"/>
                <w:color w:val="000000"/>
              </w:rPr>
              <w:t>山东省盐业企业统计系统</w:t>
            </w:r>
          </w:p>
        </w:tc>
        <w:tc>
          <w:tcPr>
            <w:tcW w:w="927" w:type="dxa"/>
            <w:vMerge w:val="restart"/>
            <w:tcBorders>
              <w:top w:val="single" w:color="FFFFFF" w:sz="18" w:space="0"/>
              <w:left w:val="single" w:color="4F81BD" w:sz="8" w:space="0"/>
              <w:right w:val="single" w:color="4F81BD" w:sz="8" w:space="0"/>
            </w:tcBorders>
            <w:shd w:val="clear" w:color="auto" w:fill="B8CCE4"/>
            <w:vAlign w:val="center"/>
          </w:tcPr>
          <w:p>
            <w:pPr>
              <w:jc w:val="center"/>
              <w:rPr>
                <w:color w:val="000000"/>
              </w:rPr>
            </w:pPr>
            <w:r>
              <w:rPr>
                <w:rFonts w:hint="eastAsia"/>
                <w:color w:val="000000"/>
              </w:rPr>
              <w:t>企业角色</w:t>
            </w:r>
          </w:p>
        </w:tc>
        <w:tc>
          <w:tcPr>
            <w:tcW w:w="1902" w:type="dxa"/>
            <w:tcBorders>
              <w:top w:val="single" w:color="FFFFFF" w:sz="18" w:space="0"/>
              <w:left w:val="single" w:color="4F81BD" w:sz="8" w:space="0"/>
              <w:bottom w:val="single" w:color="4F81BD" w:sz="8" w:space="0"/>
              <w:right w:val="single" w:color="4F81BD" w:sz="8" w:space="0"/>
            </w:tcBorders>
            <w:shd w:val="clear" w:color="auto" w:fill="B8CCE4"/>
            <w:vAlign w:val="center"/>
          </w:tcPr>
          <w:p>
            <w:pPr>
              <w:jc w:val="center"/>
              <w:rPr>
                <w:color w:val="000000"/>
              </w:rPr>
            </w:pPr>
            <w:r>
              <w:rPr>
                <w:rFonts w:hint="eastAsia"/>
                <w:color w:val="000000"/>
              </w:rPr>
              <w:t>填报列表</w:t>
            </w:r>
          </w:p>
        </w:tc>
        <w:tc>
          <w:tcPr>
            <w:tcW w:w="5503" w:type="dxa"/>
            <w:tcBorders>
              <w:top w:val="single" w:color="FFFFFF" w:sz="18" w:space="0"/>
              <w:left w:val="single" w:color="4F81BD" w:sz="8" w:space="0"/>
              <w:bottom w:val="single" w:color="4F81BD" w:sz="8" w:space="0"/>
              <w:right w:val="single" w:color="4F81BD" w:sz="8" w:space="0"/>
            </w:tcBorders>
            <w:shd w:val="clear" w:color="auto" w:fill="B8CCE4"/>
            <w:vAlign w:val="center"/>
          </w:tcPr>
          <w:p>
            <w:pPr>
              <w:rPr>
                <w:color w:val="000000"/>
                <w:sz w:val="22"/>
              </w:rPr>
            </w:pPr>
            <w:r>
              <w:rPr>
                <w:rFonts w:hint="eastAsia"/>
                <w:color w:val="000000"/>
                <w:sz w:val="22"/>
              </w:rPr>
              <w:t>查询、报表填报。</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468" w:hRule="atLeast"/>
          <w:jc w:val="center"/>
        </w:trPr>
        <w:tc>
          <w:tcPr>
            <w:tcW w:w="11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color w:val="000000"/>
              </w:rPr>
            </w:pPr>
          </w:p>
        </w:tc>
        <w:tc>
          <w:tcPr>
            <w:tcW w:w="927" w:type="dxa"/>
            <w:vMerge w:val="continue"/>
            <w:tcBorders>
              <w:left w:val="single" w:color="4F81BD" w:sz="8" w:space="0"/>
              <w:right w:val="single" w:color="4F81BD" w:sz="8" w:space="0"/>
            </w:tcBorders>
            <w:shd w:val="clear" w:color="auto" w:fill="FFFFFF"/>
            <w:vAlign w:val="center"/>
          </w:tcPr>
          <w:p>
            <w:pPr>
              <w:jc w:val="center"/>
              <w:rPr>
                <w:color w:val="000000"/>
              </w:rPr>
            </w:pPr>
          </w:p>
        </w:tc>
        <w:tc>
          <w:tcPr>
            <w:tcW w:w="1902"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color w:val="000000"/>
              </w:rPr>
            </w:pPr>
            <w:r>
              <w:rPr>
                <w:rFonts w:hint="eastAsia"/>
                <w:color w:val="000000"/>
              </w:rPr>
              <w:t>我的填报</w:t>
            </w:r>
          </w:p>
        </w:tc>
        <w:tc>
          <w:tcPr>
            <w:tcW w:w="5503" w:type="dxa"/>
            <w:tcBorders>
              <w:top w:val="single" w:color="4F81BD" w:sz="8" w:space="0"/>
              <w:left w:val="single" w:color="4F81BD" w:sz="8" w:space="0"/>
              <w:bottom w:val="single" w:color="4F81BD" w:sz="8" w:space="0"/>
              <w:right w:val="single" w:color="4F81BD" w:sz="8" w:space="0"/>
            </w:tcBorders>
            <w:shd w:val="clear" w:color="auto" w:fill="FFFFFF"/>
            <w:vAlign w:val="center"/>
          </w:tcPr>
          <w:p>
            <w:pPr>
              <w:rPr>
                <w:color w:val="000000"/>
                <w:sz w:val="22"/>
              </w:rPr>
            </w:pPr>
            <w:r>
              <w:rPr>
                <w:rFonts w:hint="eastAsia"/>
                <w:color w:val="000000"/>
                <w:sz w:val="22"/>
              </w:rPr>
              <w:t>查询、预览、删除填报、备案表打印、查看审核日志。</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468" w:hRule="atLeast"/>
          <w:jc w:val="center"/>
        </w:trPr>
        <w:tc>
          <w:tcPr>
            <w:tcW w:w="11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color w:val="000000"/>
              </w:rPr>
            </w:pPr>
          </w:p>
        </w:tc>
        <w:tc>
          <w:tcPr>
            <w:tcW w:w="927" w:type="dxa"/>
            <w:vMerge w:val="continue"/>
            <w:tcBorders>
              <w:left w:val="single" w:color="4F81BD" w:sz="8" w:space="0"/>
              <w:bottom w:val="single" w:color="4F81BD" w:sz="8" w:space="0"/>
              <w:right w:val="single" w:color="4F81BD" w:sz="8" w:space="0"/>
            </w:tcBorders>
            <w:shd w:val="clear" w:color="auto" w:fill="B8CCE4"/>
            <w:vAlign w:val="center"/>
          </w:tcPr>
          <w:p>
            <w:pPr>
              <w:jc w:val="center"/>
              <w:rPr>
                <w:color w:val="000000"/>
              </w:rPr>
            </w:pPr>
          </w:p>
        </w:tc>
        <w:tc>
          <w:tcPr>
            <w:tcW w:w="1902"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color w:val="000000"/>
              </w:rPr>
            </w:pPr>
            <w:r>
              <w:rPr>
                <w:rFonts w:hint="eastAsia"/>
                <w:color w:val="000000"/>
              </w:rPr>
              <w:t>盐行业企业管理</w:t>
            </w:r>
          </w:p>
        </w:tc>
        <w:tc>
          <w:tcPr>
            <w:tcW w:w="5503" w:type="dxa"/>
            <w:tcBorders>
              <w:top w:val="single" w:color="4F81BD" w:sz="8" w:space="0"/>
              <w:left w:val="single" w:color="4F81BD" w:sz="8" w:space="0"/>
              <w:bottom w:val="single" w:color="4F81BD" w:sz="8" w:space="0"/>
              <w:right w:val="single" w:color="4F81BD" w:sz="8" w:space="0"/>
            </w:tcBorders>
            <w:shd w:val="clear" w:color="auto" w:fill="B8CCE4"/>
            <w:vAlign w:val="center"/>
          </w:tcPr>
          <w:p>
            <w:pPr>
              <w:rPr>
                <w:color w:val="000000"/>
                <w:sz w:val="22"/>
              </w:rPr>
            </w:pPr>
            <w:r>
              <w:rPr>
                <w:rFonts w:hint="eastAsia"/>
                <w:color w:val="000000"/>
                <w:sz w:val="22"/>
              </w:rPr>
              <w:t>预览、修改、查看审核日志</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468" w:hRule="atLeast"/>
          <w:jc w:val="center"/>
        </w:trPr>
        <w:tc>
          <w:tcPr>
            <w:tcW w:w="11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color w:val="000000"/>
              </w:rPr>
            </w:pPr>
          </w:p>
        </w:tc>
        <w:tc>
          <w:tcPr>
            <w:tcW w:w="927" w:type="dxa"/>
            <w:vMerge w:val="restart"/>
            <w:tcBorders>
              <w:top w:val="single" w:color="4F81BD" w:sz="8" w:space="0"/>
              <w:left w:val="single" w:color="4F81BD" w:sz="8" w:space="0"/>
              <w:right w:val="single" w:color="4F81BD" w:sz="8" w:space="0"/>
            </w:tcBorders>
            <w:shd w:val="clear" w:color="auto" w:fill="FFFFFF"/>
            <w:vAlign w:val="center"/>
          </w:tcPr>
          <w:p>
            <w:pPr>
              <w:jc w:val="center"/>
              <w:rPr>
                <w:color w:val="000000"/>
              </w:rPr>
            </w:pPr>
            <w:r>
              <w:rPr>
                <w:rFonts w:hint="eastAsia"/>
                <w:color w:val="000000"/>
              </w:rPr>
              <w:t>市局角色</w:t>
            </w:r>
          </w:p>
        </w:tc>
        <w:tc>
          <w:tcPr>
            <w:tcW w:w="1902"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color w:val="000000"/>
              </w:rPr>
            </w:pPr>
            <w:r>
              <w:rPr>
                <w:rFonts w:hint="eastAsia"/>
                <w:color w:val="000000"/>
              </w:rPr>
              <w:t>填报审核</w:t>
            </w:r>
          </w:p>
        </w:tc>
        <w:tc>
          <w:tcPr>
            <w:tcW w:w="5503" w:type="dxa"/>
            <w:tcBorders>
              <w:top w:val="single" w:color="4F81BD" w:sz="8" w:space="0"/>
              <w:left w:val="single" w:color="4F81BD" w:sz="8" w:space="0"/>
              <w:bottom w:val="single" w:color="4F81BD" w:sz="8" w:space="0"/>
              <w:right w:val="single" w:color="4F81BD" w:sz="8" w:space="0"/>
            </w:tcBorders>
            <w:shd w:val="clear" w:color="auto" w:fill="FFFFFF"/>
            <w:vAlign w:val="center"/>
          </w:tcPr>
          <w:p>
            <w:pPr>
              <w:rPr>
                <w:color w:val="000000"/>
                <w:sz w:val="22"/>
              </w:rPr>
            </w:pPr>
            <w:r>
              <w:rPr>
                <w:rFonts w:hint="eastAsia"/>
                <w:color w:val="000000"/>
                <w:sz w:val="22"/>
              </w:rPr>
              <w:t>预览、审核、查看审核日志。</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468" w:hRule="atLeast"/>
          <w:jc w:val="center"/>
        </w:trPr>
        <w:tc>
          <w:tcPr>
            <w:tcW w:w="11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color w:val="000000"/>
              </w:rPr>
            </w:pPr>
          </w:p>
        </w:tc>
        <w:tc>
          <w:tcPr>
            <w:tcW w:w="927" w:type="dxa"/>
            <w:vMerge w:val="continue"/>
            <w:tcBorders>
              <w:left w:val="single" w:color="4F81BD" w:sz="8" w:space="0"/>
              <w:right w:val="single" w:color="4F81BD" w:sz="8" w:space="0"/>
            </w:tcBorders>
            <w:shd w:val="clear" w:color="auto" w:fill="B8CCE4"/>
            <w:vAlign w:val="center"/>
          </w:tcPr>
          <w:p>
            <w:pPr>
              <w:jc w:val="center"/>
              <w:rPr>
                <w:color w:val="000000"/>
              </w:rPr>
            </w:pPr>
          </w:p>
        </w:tc>
        <w:tc>
          <w:tcPr>
            <w:tcW w:w="1902"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color w:val="000000"/>
              </w:rPr>
            </w:pPr>
            <w:r>
              <w:rPr>
                <w:rFonts w:hint="eastAsia"/>
                <w:color w:val="000000"/>
              </w:rPr>
              <w:t>查询统计</w:t>
            </w:r>
          </w:p>
        </w:tc>
        <w:tc>
          <w:tcPr>
            <w:tcW w:w="5503" w:type="dxa"/>
            <w:tcBorders>
              <w:top w:val="single" w:color="4F81BD" w:sz="8" w:space="0"/>
              <w:left w:val="single" w:color="4F81BD" w:sz="8" w:space="0"/>
              <w:bottom w:val="single" w:color="4F81BD" w:sz="8" w:space="0"/>
              <w:right w:val="single" w:color="4F81BD" w:sz="8" w:space="0"/>
            </w:tcBorders>
            <w:shd w:val="clear" w:color="auto" w:fill="B8CCE4"/>
            <w:vAlign w:val="center"/>
          </w:tcPr>
          <w:p>
            <w:pPr>
              <w:rPr>
                <w:color w:val="000000"/>
                <w:sz w:val="22"/>
              </w:rPr>
            </w:pPr>
            <w:r>
              <w:rPr>
                <w:rFonts w:hint="eastAsia"/>
                <w:color w:val="000000"/>
                <w:sz w:val="22"/>
              </w:rPr>
              <w:t>查询、导出。</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468" w:hRule="atLeast"/>
          <w:jc w:val="center"/>
        </w:trPr>
        <w:tc>
          <w:tcPr>
            <w:tcW w:w="11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color w:val="000000"/>
              </w:rPr>
            </w:pPr>
          </w:p>
        </w:tc>
        <w:tc>
          <w:tcPr>
            <w:tcW w:w="927" w:type="dxa"/>
            <w:vMerge w:val="continue"/>
            <w:tcBorders>
              <w:left w:val="single" w:color="4F81BD" w:sz="8" w:space="0"/>
              <w:bottom w:val="single" w:color="4F81BD" w:sz="8" w:space="0"/>
              <w:right w:val="single" w:color="4F81BD" w:sz="8" w:space="0"/>
            </w:tcBorders>
            <w:shd w:val="clear" w:color="auto" w:fill="FFFFFF"/>
            <w:vAlign w:val="center"/>
          </w:tcPr>
          <w:p>
            <w:pPr>
              <w:jc w:val="center"/>
              <w:rPr>
                <w:color w:val="000000"/>
              </w:rPr>
            </w:pPr>
          </w:p>
        </w:tc>
        <w:tc>
          <w:tcPr>
            <w:tcW w:w="1902"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color w:val="000000"/>
              </w:rPr>
            </w:pPr>
            <w:r>
              <w:rPr>
                <w:rFonts w:hint="eastAsia"/>
                <w:color w:val="000000"/>
              </w:rPr>
              <w:t>盐行业企业管理</w:t>
            </w:r>
          </w:p>
        </w:tc>
        <w:tc>
          <w:tcPr>
            <w:tcW w:w="5503" w:type="dxa"/>
            <w:tcBorders>
              <w:top w:val="single" w:color="4F81BD" w:sz="8" w:space="0"/>
              <w:left w:val="single" w:color="4F81BD" w:sz="8" w:space="0"/>
              <w:bottom w:val="single" w:color="4F81BD" w:sz="8" w:space="0"/>
              <w:right w:val="single" w:color="4F81BD" w:sz="8" w:space="0"/>
            </w:tcBorders>
            <w:shd w:val="clear" w:color="auto" w:fill="FFFFFF"/>
            <w:vAlign w:val="center"/>
          </w:tcPr>
          <w:p>
            <w:pPr>
              <w:rPr>
                <w:color w:val="000000"/>
                <w:sz w:val="22"/>
              </w:rPr>
            </w:pPr>
            <w:r>
              <w:rPr>
                <w:rFonts w:hint="eastAsia"/>
                <w:color w:val="000000"/>
                <w:sz w:val="22"/>
              </w:rPr>
              <w:t>预览、查看审核日志</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600" w:hRule="atLeast"/>
          <w:jc w:val="center"/>
        </w:trPr>
        <w:tc>
          <w:tcPr>
            <w:tcW w:w="11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color w:val="000000"/>
              </w:rPr>
            </w:pPr>
          </w:p>
        </w:tc>
        <w:tc>
          <w:tcPr>
            <w:tcW w:w="927" w:type="dxa"/>
            <w:vMerge w:val="restart"/>
            <w:tcBorders>
              <w:top w:val="single" w:color="4F81BD" w:sz="8" w:space="0"/>
              <w:left w:val="single" w:color="4F81BD" w:sz="8" w:space="0"/>
              <w:right w:val="single" w:color="4F81BD" w:sz="8" w:space="0"/>
            </w:tcBorders>
            <w:shd w:val="clear" w:color="auto" w:fill="B8CCE4"/>
            <w:vAlign w:val="center"/>
          </w:tcPr>
          <w:p>
            <w:pPr>
              <w:jc w:val="center"/>
              <w:rPr>
                <w:color w:val="000000"/>
              </w:rPr>
            </w:pPr>
            <w:r>
              <w:rPr>
                <w:rFonts w:hint="eastAsia"/>
                <w:color w:val="000000"/>
              </w:rPr>
              <w:t>省厅角色</w:t>
            </w:r>
          </w:p>
        </w:tc>
        <w:tc>
          <w:tcPr>
            <w:tcW w:w="1902"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color w:val="000000"/>
              </w:rPr>
            </w:pPr>
            <w:r>
              <w:rPr>
                <w:rFonts w:hint="eastAsia"/>
                <w:color w:val="000000"/>
              </w:rPr>
              <w:t>权限管理</w:t>
            </w:r>
          </w:p>
        </w:tc>
        <w:tc>
          <w:tcPr>
            <w:tcW w:w="5503"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line="300" w:lineRule="exact"/>
              <w:rPr>
                <w:color w:val="000000"/>
                <w:sz w:val="22"/>
              </w:rPr>
            </w:pPr>
            <w:r>
              <w:rPr>
                <w:rFonts w:hint="eastAsia"/>
                <w:color w:val="000000"/>
                <w:sz w:val="22"/>
              </w:rPr>
              <w:t>组织添加、编辑、删除及层级管理；用户账号查询、添加、编辑、删除。</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600" w:hRule="atLeast"/>
          <w:jc w:val="center"/>
        </w:trPr>
        <w:tc>
          <w:tcPr>
            <w:tcW w:w="11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color w:val="000000"/>
              </w:rPr>
            </w:pPr>
          </w:p>
        </w:tc>
        <w:tc>
          <w:tcPr>
            <w:tcW w:w="927" w:type="dxa"/>
            <w:vMerge w:val="continue"/>
            <w:tcBorders>
              <w:left w:val="single" w:color="4F81BD" w:sz="8" w:space="0"/>
              <w:right w:val="single" w:color="4F81BD" w:sz="8" w:space="0"/>
            </w:tcBorders>
            <w:shd w:val="clear" w:color="auto" w:fill="FFFFFF"/>
          </w:tcPr>
          <w:p>
            <w:pPr>
              <w:rPr>
                <w:color w:val="000000"/>
              </w:rPr>
            </w:pPr>
          </w:p>
        </w:tc>
        <w:tc>
          <w:tcPr>
            <w:tcW w:w="1902"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color w:val="000000"/>
              </w:rPr>
            </w:pPr>
            <w:r>
              <w:rPr>
                <w:rFonts w:hint="eastAsia"/>
                <w:color w:val="000000"/>
              </w:rPr>
              <w:t>填报审核</w:t>
            </w:r>
          </w:p>
        </w:tc>
        <w:tc>
          <w:tcPr>
            <w:tcW w:w="5503" w:type="dxa"/>
            <w:tcBorders>
              <w:top w:val="single" w:color="4F81BD" w:sz="8" w:space="0"/>
              <w:left w:val="single" w:color="4F81BD" w:sz="8" w:space="0"/>
              <w:bottom w:val="single" w:color="4F81BD" w:sz="8" w:space="0"/>
              <w:right w:val="single" w:color="4F81BD" w:sz="8" w:space="0"/>
            </w:tcBorders>
            <w:shd w:val="clear" w:color="auto" w:fill="FFFFFF"/>
            <w:vAlign w:val="center"/>
          </w:tcPr>
          <w:p>
            <w:pPr>
              <w:rPr>
                <w:color w:val="000000"/>
                <w:sz w:val="22"/>
              </w:rPr>
            </w:pPr>
            <w:r>
              <w:rPr>
                <w:rFonts w:hint="eastAsia"/>
                <w:color w:val="000000"/>
                <w:sz w:val="22"/>
              </w:rPr>
              <w:t>预览、审核、查看审核日志。</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600" w:hRule="atLeast"/>
          <w:jc w:val="center"/>
        </w:trPr>
        <w:tc>
          <w:tcPr>
            <w:tcW w:w="11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color w:val="000000"/>
              </w:rPr>
            </w:pPr>
          </w:p>
        </w:tc>
        <w:tc>
          <w:tcPr>
            <w:tcW w:w="927" w:type="dxa"/>
            <w:vMerge w:val="continue"/>
            <w:tcBorders>
              <w:left w:val="single" w:color="4F81BD" w:sz="8" w:space="0"/>
              <w:right w:val="single" w:color="4F81BD" w:sz="8" w:space="0"/>
            </w:tcBorders>
            <w:shd w:val="clear" w:color="auto" w:fill="B8CCE4"/>
          </w:tcPr>
          <w:p>
            <w:pPr>
              <w:rPr>
                <w:color w:val="000000"/>
              </w:rPr>
            </w:pPr>
          </w:p>
        </w:tc>
        <w:tc>
          <w:tcPr>
            <w:tcW w:w="1902"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color w:val="000000"/>
              </w:rPr>
            </w:pPr>
            <w:r>
              <w:rPr>
                <w:rFonts w:hint="eastAsia"/>
                <w:color w:val="000000"/>
              </w:rPr>
              <w:t>查询统计</w:t>
            </w:r>
          </w:p>
        </w:tc>
        <w:tc>
          <w:tcPr>
            <w:tcW w:w="5503" w:type="dxa"/>
            <w:tcBorders>
              <w:top w:val="single" w:color="4F81BD" w:sz="8" w:space="0"/>
              <w:left w:val="single" w:color="4F81BD" w:sz="8" w:space="0"/>
              <w:bottom w:val="single" w:color="4F81BD" w:sz="8" w:space="0"/>
              <w:right w:val="single" w:color="4F81BD" w:sz="8" w:space="0"/>
            </w:tcBorders>
            <w:shd w:val="clear" w:color="auto" w:fill="B8CCE4"/>
            <w:vAlign w:val="center"/>
          </w:tcPr>
          <w:p>
            <w:pPr>
              <w:rPr>
                <w:color w:val="000000"/>
                <w:sz w:val="22"/>
              </w:rPr>
            </w:pPr>
            <w:r>
              <w:rPr>
                <w:rFonts w:hint="eastAsia"/>
                <w:color w:val="000000"/>
                <w:sz w:val="22"/>
              </w:rPr>
              <w:t>查询、导出。</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600" w:hRule="atLeast"/>
          <w:jc w:val="center"/>
        </w:trPr>
        <w:tc>
          <w:tcPr>
            <w:tcW w:w="11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color w:val="000000"/>
              </w:rPr>
            </w:pPr>
          </w:p>
        </w:tc>
        <w:tc>
          <w:tcPr>
            <w:tcW w:w="927" w:type="dxa"/>
            <w:vMerge w:val="continue"/>
            <w:tcBorders>
              <w:left w:val="single" w:color="4F81BD" w:sz="8" w:space="0"/>
              <w:bottom w:val="single" w:color="4F81BD" w:sz="8" w:space="0"/>
              <w:right w:val="single" w:color="4F81BD" w:sz="8" w:space="0"/>
            </w:tcBorders>
            <w:shd w:val="clear" w:color="auto" w:fill="FFFFFF"/>
          </w:tcPr>
          <w:p>
            <w:pPr>
              <w:rPr>
                <w:color w:val="000000"/>
              </w:rPr>
            </w:pPr>
          </w:p>
        </w:tc>
        <w:tc>
          <w:tcPr>
            <w:tcW w:w="1902"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color w:val="000000"/>
              </w:rPr>
            </w:pPr>
            <w:r>
              <w:rPr>
                <w:rFonts w:hint="eastAsia"/>
                <w:color w:val="000000"/>
              </w:rPr>
              <w:t>盐行业企业管理</w:t>
            </w:r>
          </w:p>
        </w:tc>
        <w:tc>
          <w:tcPr>
            <w:tcW w:w="5503"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line="300" w:lineRule="exact"/>
              <w:rPr>
                <w:color w:val="000000"/>
                <w:sz w:val="22"/>
              </w:rPr>
            </w:pPr>
            <w:r>
              <w:rPr>
                <w:rFonts w:hint="eastAsia"/>
                <w:color w:val="000000"/>
                <w:sz w:val="22"/>
              </w:rPr>
              <w:t>盐行业信息查询、查看详情、用户管理、撤销备案、查看审核日志。</w:t>
            </w:r>
          </w:p>
        </w:tc>
      </w:tr>
    </w:tbl>
    <w:p>
      <w:pPr>
        <w:pStyle w:val="3"/>
      </w:pPr>
      <w:bookmarkStart w:id="36" w:name="_Toc20387"/>
      <w:bookmarkStart w:id="37" w:name="_Toc2798"/>
      <w:bookmarkStart w:id="38" w:name="_Toc25635"/>
      <w:bookmarkStart w:id="39" w:name="_Toc25538"/>
      <w:bookmarkStart w:id="40" w:name="_Toc23732"/>
      <w:bookmarkStart w:id="41" w:name="_Toc20125"/>
      <w:bookmarkStart w:id="42" w:name="_Toc20675"/>
      <w:bookmarkStart w:id="43" w:name="_Toc10047"/>
      <w:bookmarkStart w:id="44" w:name="_Toc32187"/>
      <w:r>
        <w:rPr>
          <w:rFonts w:hint="eastAsia"/>
        </w:rPr>
        <w:t>应用场景</w:t>
      </w:r>
      <w:bookmarkEnd w:id="36"/>
      <w:bookmarkEnd w:id="37"/>
      <w:bookmarkEnd w:id="38"/>
      <w:bookmarkEnd w:id="39"/>
      <w:bookmarkEnd w:id="40"/>
      <w:bookmarkEnd w:id="41"/>
      <w:bookmarkEnd w:id="42"/>
      <w:bookmarkEnd w:id="43"/>
      <w:bookmarkEnd w:id="44"/>
    </w:p>
    <w:p>
      <w:pPr>
        <w:ind w:left="0"/>
      </w:pPr>
      <w:r>
        <w:rPr>
          <w:rFonts w:hint="eastAsia"/>
        </w:rPr>
        <w:t>本系统由三个角色组成，分别在流程中占据不同的位置及功能。</w:t>
      </w:r>
    </w:p>
    <w:p>
      <w:r>
        <w:drawing>
          <wp:inline distT="0" distB="0" distL="0" distR="0">
            <wp:extent cx="5276850" cy="1250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6850" cy="1250950"/>
                    </a:xfrm>
                    <a:prstGeom prst="rect">
                      <a:avLst/>
                    </a:prstGeom>
                    <a:noFill/>
                    <a:ln>
                      <a:noFill/>
                    </a:ln>
                  </pic:spPr>
                </pic:pic>
              </a:graphicData>
            </a:graphic>
          </wp:inline>
        </w:drawing>
      </w:r>
    </w:p>
    <w:p>
      <w:pPr>
        <w:ind w:left="0" w:firstLine="0" w:firstLineChars="0"/>
        <w:jc w:val="left"/>
        <w:rPr>
          <w:rFonts w:ascii="黑体" w:hAnsi="宋体"/>
          <w:szCs w:val="22"/>
        </w:rPr>
      </w:pPr>
      <w:r>
        <w:rPr>
          <w:rFonts w:hint="eastAsia" w:ascii="黑体" w:hAnsi="宋体"/>
          <w:szCs w:val="22"/>
          <w:lang w:val="en-US" w:eastAsia="zh-CN"/>
        </w:rPr>
        <w:t>1、</w:t>
      </w:r>
      <w:r>
        <w:rPr>
          <w:rFonts w:hint="eastAsia" w:ascii="黑体" w:hAnsi="宋体"/>
          <w:szCs w:val="22"/>
        </w:rPr>
        <w:t>企业角色：位于流程开端，可执行报表内容填写、修改、提交及查看报表审核状态等操作。</w:t>
      </w:r>
    </w:p>
    <w:p>
      <w:pPr>
        <w:ind w:firstLine="0"/>
        <w:rPr>
          <w:rFonts w:ascii="黑体" w:hAnsi="宋体"/>
          <w:szCs w:val="22"/>
        </w:rPr>
      </w:pPr>
      <w:r>
        <w:rPr>
          <w:rFonts w:hint="eastAsia" w:ascii="黑体" w:hAnsi="宋体"/>
          <w:szCs w:val="22"/>
          <w:lang w:val="en-US" w:eastAsia="zh-CN"/>
        </w:rPr>
        <w:t>2、</w:t>
      </w:r>
      <w:r>
        <w:rPr>
          <w:rFonts w:hint="eastAsia" w:ascii="黑体" w:hAnsi="宋体"/>
          <w:szCs w:val="22"/>
        </w:rPr>
        <w:t>市局角色：位于流程中端，可执行报表审核、驳回及查看报表审核状态等操作，该角色审核通过后，报表达到省厅角色，由省厅角色进行审核。</w:t>
      </w:r>
    </w:p>
    <w:p>
      <w:pPr>
        <w:ind w:firstLine="0"/>
        <w:rPr>
          <w:rFonts w:ascii="黑体" w:hAnsi="宋体"/>
          <w:szCs w:val="22"/>
        </w:rPr>
      </w:pPr>
      <w:r>
        <w:rPr>
          <w:rFonts w:hint="eastAsia" w:ascii="黑体" w:hAnsi="宋体"/>
          <w:szCs w:val="22"/>
          <w:lang w:val="en-US" w:eastAsia="zh-CN"/>
        </w:rPr>
        <w:t>3、</w:t>
      </w:r>
      <w:r>
        <w:rPr>
          <w:rFonts w:hint="eastAsia" w:ascii="黑体" w:hAnsi="宋体"/>
          <w:szCs w:val="22"/>
        </w:rPr>
        <w:t>省厅角色：位于流程末端，</w:t>
      </w:r>
      <w:r>
        <w:rPr>
          <w:rFonts w:hint="eastAsia" w:ascii="黑体" w:hAnsi="宋体"/>
          <w:szCs w:val="22"/>
          <w:lang w:eastAsia="zh-CN"/>
        </w:rPr>
        <w:t>负责系统后台管理；</w:t>
      </w:r>
      <w:r>
        <w:rPr>
          <w:rFonts w:hint="eastAsia" w:ascii="黑体" w:hAnsi="宋体"/>
          <w:szCs w:val="22"/>
        </w:rPr>
        <w:t>报表审核、驳回及查看报表审核状态等操作，该角色审核通过后，报表内容保存到数据库中可供查看。</w:t>
      </w:r>
    </w:p>
    <w:p>
      <w:pPr>
        <w:pStyle w:val="2"/>
      </w:pPr>
      <w:bookmarkStart w:id="45" w:name="_Toc16078"/>
      <w:bookmarkStart w:id="46" w:name="_Toc3821"/>
      <w:bookmarkStart w:id="47" w:name="_Toc4525"/>
      <w:bookmarkStart w:id="48" w:name="_Toc16746"/>
      <w:bookmarkStart w:id="49" w:name="_Toc5298"/>
      <w:bookmarkStart w:id="50" w:name="_Toc14674"/>
      <w:bookmarkStart w:id="51" w:name="_Toc27020"/>
      <w:bookmarkStart w:id="52" w:name="_Toc24571"/>
      <w:bookmarkStart w:id="53" w:name="_Toc11352"/>
      <w:r>
        <w:rPr>
          <w:rFonts w:hint="eastAsia"/>
        </w:rPr>
        <w:t>操作指南</w:t>
      </w:r>
      <w:bookmarkEnd w:id="45"/>
      <w:bookmarkEnd w:id="46"/>
      <w:bookmarkEnd w:id="47"/>
      <w:bookmarkEnd w:id="48"/>
      <w:bookmarkEnd w:id="49"/>
      <w:bookmarkEnd w:id="50"/>
      <w:bookmarkEnd w:id="51"/>
      <w:bookmarkEnd w:id="52"/>
      <w:bookmarkEnd w:id="53"/>
      <w:r>
        <w:rPr>
          <w:rFonts w:hint="eastAsia"/>
          <w:lang w:val="en-US" w:eastAsia="zh-CN"/>
        </w:rPr>
        <w:t xml:space="preserve"> </w:t>
      </w:r>
    </w:p>
    <w:p>
      <w:pPr>
        <w:pStyle w:val="3"/>
      </w:pPr>
      <w:bookmarkStart w:id="54" w:name="_Toc21569"/>
      <w:bookmarkStart w:id="55" w:name="_Toc3108"/>
      <w:bookmarkStart w:id="56" w:name="_Toc14588"/>
      <w:bookmarkStart w:id="57" w:name="_Toc30826"/>
      <w:bookmarkStart w:id="58" w:name="_Toc1703"/>
      <w:bookmarkStart w:id="59" w:name="_Toc15923"/>
      <w:bookmarkStart w:id="60" w:name="_Toc21395"/>
      <w:bookmarkStart w:id="61" w:name="_Toc15135"/>
      <w:bookmarkStart w:id="62" w:name="_Toc26079"/>
      <w:r>
        <w:rPr>
          <w:rFonts w:hint="eastAsia"/>
          <w:lang w:eastAsia="zh-CN"/>
        </w:rPr>
        <w:t>技术支持</w:t>
      </w:r>
      <w:bookmarkEnd w:id="54"/>
      <w:bookmarkEnd w:id="55"/>
      <w:bookmarkEnd w:id="56"/>
      <w:bookmarkEnd w:id="57"/>
      <w:bookmarkEnd w:id="58"/>
      <w:bookmarkEnd w:id="59"/>
      <w:bookmarkEnd w:id="60"/>
    </w:p>
    <w:p>
      <w:pPr>
        <w:rPr>
          <w:rFonts w:hint="eastAsia"/>
          <w:lang w:val="en-US" w:eastAsia="zh-CN"/>
        </w:rPr>
      </w:pPr>
      <w:r>
        <w:rPr>
          <w:rFonts w:hint="eastAsia"/>
          <w:lang w:eastAsia="zh-CN"/>
        </w:rPr>
        <w:t>浪潮：陈老师</w:t>
      </w:r>
      <w:r>
        <w:rPr>
          <w:rFonts w:hint="eastAsia"/>
          <w:lang w:val="en-US" w:eastAsia="zh-CN"/>
        </w:rPr>
        <w:t>18342212760</w:t>
      </w:r>
    </w:p>
    <w:p>
      <w:pPr>
        <w:rPr>
          <w:rFonts w:hint="eastAsia"/>
        </w:rPr>
      </w:pPr>
      <w:r>
        <w:rPr>
          <w:rFonts w:hint="eastAsia"/>
          <w:lang w:val="en-US" w:eastAsia="zh-CN"/>
        </w:rPr>
        <w:t>省工业和信息化厅：</w:t>
      </w:r>
      <w:r>
        <w:rPr>
          <w:rFonts w:hint="eastAsia"/>
        </w:rPr>
        <w:t>51782638</w:t>
      </w:r>
      <w:r>
        <w:rPr>
          <w:rFonts w:hint="eastAsia"/>
          <w:lang w:eastAsia="zh-CN"/>
        </w:rPr>
        <w:t>，</w:t>
      </w:r>
      <w:r>
        <w:rPr>
          <w:rFonts w:hint="eastAsia"/>
        </w:rPr>
        <w:t>51782633</w:t>
      </w:r>
    </w:p>
    <w:p>
      <w:pPr>
        <w:pStyle w:val="3"/>
      </w:pPr>
      <w:bookmarkStart w:id="63" w:name="_Toc25631"/>
      <w:bookmarkStart w:id="64" w:name="_Toc22521"/>
      <w:bookmarkStart w:id="65" w:name="_Toc15138"/>
      <w:bookmarkStart w:id="66" w:name="_Toc28447"/>
      <w:bookmarkStart w:id="67" w:name="_Toc12358"/>
      <w:bookmarkStart w:id="68" w:name="_Toc19405"/>
      <w:bookmarkStart w:id="69" w:name="_Toc17950"/>
      <w:r>
        <w:rPr>
          <w:rFonts w:hint="eastAsia"/>
          <w:lang w:eastAsia="zh-CN"/>
        </w:rPr>
        <w:t>系统登陆地址和用户账号</w:t>
      </w:r>
      <w:bookmarkEnd w:id="61"/>
      <w:bookmarkEnd w:id="62"/>
      <w:r>
        <w:rPr>
          <w:rFonts w:hint="eastAsia"/>
          <w:lang w:eastAsia="zh-CN"/>
        </w:rPr>
        <w:t>及密码</w:t>
      </w:r>
      <w:bookmarkEnd w:id="63"/>
      <w:bookmarkEnd w:id="64"/>
      <w:bookmarkEnd w:id="65"/>
      <w:bookmarkEnd w:id="66"/>
      <w:bookmarkEnd w:id="67"/>
      <w:bookmarkEnd w:id="68"/>
      <w:bookmarkEnd w:id="69"/>
    </w:p>
    <w:p>
      <w:pPr>
        <w:ind w:firstLine="0"/>
        <w:rPr>
          <w:rFonts w:ascii="黑体" w:hAnsi="宋体"/>
          <w:i w:val="0"/>
          <w:iCs w:val="0"/>
          <w:color w:val="000000" w:themeColor="text1"/>
          <w:szCs w:val="22"/>
          <w14:textFill>
            <w14:solidFill>
              <w14:schemeClr w14:val="tx1"/>
            </w14:solidFill>
          </w14:textFill>
        </w:rPr>
      </w:pPr>
      <w:r>
        <w:rPr>
          <w:rFonts w:hint="eastAsia"/>
          <w:i w:val="0"/>
          <w:iCs w:val="0"/>
          <w:color w:val="000000" w:themeColor="text1"/>
          <w:lang w:val="en-US" w:eastAsia="zh-CN"/>
          <w14:textFill>
            <w14:solidFill>
              <w14:schemeClr w14:val="tx1"/>
            </w14:solidFill>
          </w14:textFill>
        </w:rPr>
        <w:t>1、</w:t>
      </w:r>
      <w:r>
        <w:rPr>
          <w:rFonts w:hint="eastAsia"/>
          <w:i w:val="0"/>
          <w:iCs w:val="0"/>
          <w:color w:val="000000" w:themeColor="text1"/>
          <w:lang w:eastAsia="zh-CN"/>
          <w14:textFill>
            <w14:solidFill>
              <w14:schemeClr w14:val="tx1"/>
            </w14:solidFill>
          </w14:textFill>
        </w:rPr>
        <w:t>登陆地址：</w:t>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HYPERLINK "http://117.73.13.154:8080/。" </w:instrText>
      </w:r>
      <w:r>
        <w:rPr>
          <w:i w:val="0"/>
          <w:iCs w:val="0"/>
          <w:color w:val="000000" w:themeColor="text1"/>
          <w14:textFill>
            <w14:solidFill>
              <w14:schemeClr w14:val="tx1"/>
            </w14:solidFill>
          </w14:textFill>
        </w:rPr>
        <w:fldChar w:fldCharType="separate"/>
      </w:r>
      <w:r>
        <w:rPr>
          <w:rStyle w:val="25"/>
          <w:rFonts w:hint="eastAsia" w:ascii="黑体" w:hAnsi="宋体"/>
          <w:i w:val="0"/>
          <w:iCs w:val="0"/>
          <w:color w:val="000000" w:themeColor="text1"/>
          <w:szCs w:val="22"/>
          <w14:textFill>
            <w14:solidFill>
              <w14:schemeClr w14:val="tx1"/>
            </w14:solidFill>
          </w14:textFill>
        </w:rPr>
        <w:t>http://117.73.13.154:8080/</w:t>
      </w:r>
      <w:r>
        <w:rPr>
          <w:rStyle w:val="25"/>
          <w:rFonts w:hint="eastAsia" w:ascii="黑体" w:hAnsi="宋体"/>
          <w:i w:val="0"/>
          <w:iCs w:val="0"/>
          <w:color w:val="000000" w:themeColor="text1"/>
          <w:szCs w:val="22"/>
          <w14:textFill>
            <w14:solidFill>
              <w14:schemeClr w14:val="tx1"/>
            </w14:solidFill>
          </w14:textFill>
        </w:rPr>
        <w:fldChar w:fldCharType="end"/>
      </w:r>
    </w:p>
    <w:p>
      <w:pPr>
        <w:ind w:firstLine="0"/>
        <w:rPr>
          <w:rFonts w:hint="eastAsia" w:ascii="黑体" w:hAnsi="宋体"/>
          <w:szCs w:val="22"/>
          <w:lang w:eastAsia="zh-CN"/>
        </w:rPr>
      </w:pPr>
      <w:r>
        <w:rPr>
          <w:rFonts w:hint="eastAsia" w:ascii="黑体" w:hAnsi="宋体"/>
          <w:szCs w:val="22"/>
          <w:lang w:val="en-US" w:eastAsia="zh-CN"/>
        </w:rPr>
        <w:t>2、</w:t>
      </w:r>
      <w:r>
        <w:rPr>
          <w:rFonts w:hint="eastAsia" w:ascii="黑体" w:hAnsi="宋体"/>
          <w:szCs w:val="22"/>
        </w:rPr>
        <w:t>账号</w:t>
      </w:r>
      <w:r>
        <w:rPr>
          <w:rFonts w:hint="eastAsia" w:ascii="黑体" w:hAnsi="宋体"/>
          <w:szCs w:val="22"/>
          <w:lang w:eastAsia="zh-CN"/>
        </w:rPr>
        <w:t>及</w:t>
      </w:r>
      <w:r>
        <w:rPr>
          <w:rFonts w:hint="eastAsia" w:ascii="黑体" w:hAnsi="宋体"/>
          <w:szCs w:val="22"/>
        </w:rPr>
        <w:t>密码：系统已为各市盐业主管部门以及纳入统计范围的</w:t>
      </w:r>
      <w:r>
        <w:rPr>
          <w:rFonts w:hint="eastAsia" w:ascii="黑体" w:hAnsi="宋体"/>
          <w:szCs w:val="22"/>
          <w:lang w:eastAsia="zh-CN"/>
        </w:rPr>
        <w:t>省内食盐定点生产和定点批发</w:t>
      </w:r>
      <w:r>
        <w:rPr>
          <w:rFonts w:hint="eastAsia" w:ascii="黑体" w:hAnsi="宋体"/>
          <w:szCs w:val="22"/>
        </w:rPr>
        <w:t>企业内置用户名和密码</w:t>
      </w:r>
      <w:r>
        <w:rPr>
          <w:rFonts w:hint="eastAsia" w:ascii="黑体" w:hAnsi="宋体"/>
          <w:szCs w:val="22"/>
          <w:lang w:eastAsia="zh-CN"/>
        </w:rPr>
        <w:t>，请相关企业联系辖区市级盐业主管部门申领。其它需纳入系统填报的企业请参照</w:t>
      </w:r>
      <w:r>
        <w:rPr>
          <w:rFonts w:hint="eastAsia" w:ascii="黑体" w:hAnsi="宋体"/>
          <w:szCs w:val="22"/>
          <w:lang w:val="en-US" w:eastAsia="zh-CN"/>
        </w:rPr>
        <w:t xml:space="preserve"> 2.3</w:t>
      </w:r>
      <w:r>
        <w:rPr>
          <w:rFonts w:hint="eastAsia" w:ascii="黑体" w:hAnsi="宋体"/>
          <w:szCs w:val="22"/>
          <w:lang w:eastAsia="zh-CN"/>
        </w:rPr>
        <w:t>企业账号申领流程操作。</w:t>
      </w:r>
    </w:p>
    <w:p>
      <w:pPr>
        <w:ind w:firstLine="0"/>
        <w:rPr>
          <w:rFonts w:hint="eastAsia"/>
          <w:lang w:eastAsia="zh-CN"/>
        </w:rPr>
      </w:pPr>
      <w:r>
        <w:rPr>
          <w:rFonts w:hint="eastAsia" w:ascii="黑体" w:hAnsi="宋体"/>
          <w:szCs w:val="22"/>
          <w:lang w:eastAsia="zh-CN"/>
        </w:rPr>
        <w:t>登陆后请及时更改密码，</w:t>
      </w:r>
      <w:r>
        <w:rPr>
          <w:rFonts w:hint="eastAsia" w:ascii="黑体" w:hAnsi="宋体"/>
          <w:szCs w:val="22"/>
          <w:lang w:val="en-US" w:eastAsia="zh-CN"/>
        </w:rPr>
        <w:t>密码需包含大小写字母、数字和特殊字符，如Fcjy@2021。登陆账号、密码遗忘以及欲调整登陆账号的请填写《账号（密码）变更申请表》（详见附件2），扫描盖章版发送</w:t>
      </w:r>
      <w:r>
        <w:rPr>
          <w:rFonts w:hint="eastAsia" w:ascii="黑体" w:hAnsi="宋体"/>
          <w:b/>
          <w:bCs/>
          <w:szCs w:val="22"/>
        </w:rPr>
        <w:t>sdyy@shandong.cn</w:t>
      </w:r>
      <w:r>
        <w:rPr>
          <w:rFonts w:hint="eastAsia" w:ascii="黑体" w:hAnsi="宋体"/>
          <w:b/>
          <w:bCs/>
          <w:szCs w:val="22"/>
          <w:lang w:eastAsia="zh-CN"/>
        </w:rPr>
        <w:t>并及时电话告知</w:t>
      </w:r>
      <w:r>
        <w:rPr>
          <w:rFonts w:hint="eastAsia" w:ascii="黑体" w:hAnsi="宋体"/>
          <w:szCs w:val="22"/>
          <w:lang w:val="en-US" w:eastAsia="zh-CN"/>
        </w:rPr>
        <w:t>0531-</w:t>
      </w:r>
      <w:r>
        <w:rPr>
          <w:rFonts w:hint="eastAsia"/>
        </w:rPr>
        <w:t>51782638</w:t>
      </w:r>
      <w:r>
        <w:rPr>
          <w:rFonts w:hint="eastAsia"/>
          <w:lang w:val="en-US" w:eastAsia="zh-CN"/>
        </w:rPr>
        <w:t xml:space="preserve">  </w:t>
      </w:r>
      <w:r>
        <w:rPr>
          <w:rFonts w:hint="eastAsia"/>
        </w:rPr>
        <w:t>51782633</w:t>
      </w:r>
      <w:r>
        <w:rPr>
          <w:rFonts w:hint="eastAsia"/>
          <w:lang w:eastAsia="zh-CN"/>
        </w:rPr>
        <w:t>办理。</w:t>
      </w:r>
    </w:p>
    <w:p>
      <w:pPr>
        <w:pStyle w:val="3"/>
        <w:rPr>
          <w:rFonts w:hint="eastAsia" w:ascii="Times New Roman" w:hAnsi="Times New Roman"/>
          <w:szCs w:val="24"/>
        </w:rPr>
      </w:pPr>
      <w:bookmarkStart w:id="70" w:name="_Toc8176"/>
      <w:bookmarkStart w:id="71" w:name="_Toc12236"/>
      <w:bookmarkStart w:id="72" w:name="_Toc20409"/>
      <w:bookmarkStart w:id="73" w:name="_Toc1679"/>
      <w:bookmarkStart w:id="74" w:name="_Toc10916"/>
      <w:bookmarkStart w:id="75" w:name="_Toc27955"/>
      <w:bookmarkStart w:id="76" w:name="_Toc32291"/>
      <w:bookmarkStart w:id="77" w:name="_Toc29051"/>
      <w:r>
        <w:rPr>
          <w:rFonts w:hint="eastAsia"/>
          <w:szCs w:val="24"/>
          <w:lang w:eastAsia="zh-CN"/>
        </w:rPr>
        <w:t>企业</w:t>
      </w:r>
      <w:bookmarkEnd w:id="70"/>
      <w:r>
        <w:rPr>
          <w:rFonts w:hint="eastAsia"/>
          <w:szCs w:val="24"/>
          <w:lang w:eastAsia="zh-CN"/>
        </w:rPr>
        <w:t>账号申领流程</w:t>
      </w:r>
      <w:bookmarkEnd w:id="71"/>
      <w:bookmarkEnd w:id="72"/>
      <w:bookmarkEnd w:id="73"/>
      <w:bookmarkEnd w:id="74"/>
      <w:bookmarkEnd w:id="75"/>
      <w:bookmarkEnd w:id="76"/>
      <w:bookmarkEnd w:id="77"/>
    </w:p>
    <w:p>
      <w:pPr>
        <w:numPr>
          <w:ilvl w:val="-1"/>
          <w:numId w:val="0"/>
        </w:numPr>
        <w:ind w:left="0" w:leftChars="0" w:firstLine="0" w:firstLineChars="0"/>
        <w:rPr>
          <w:rFonts w:hint="eastAsia" w:ascii="黑体" w:hAnsi="宋体"/>
          <w:szCs w:val="22"/>
          <w:lang w:val="en-US" w:eastAsia="zh-CN"/>
        </w:rPr>
      </w:pPr>
      <w:r>
        <w:rPr>
          <w:rFonts w:hint="eastAsia" w:ascii="黑体" w:hAnsi="宋体"/>
          <w:szCs w:val="22"/>
          <w:lang w:eastAsia="zh-CN"/>
        </w:rPr>
        <w:t>对系统要求填报的</w:t>
      </w:r>
      <w:r>
        <w:rPr>
          <w:rFonts w:hint="eastAsia" w:ascii="黑体" w:hAnsi="宋体"/>
          <w:szCs w:val="22"/>
          <w:lang w:val="en-US" w:eastAsia="zh-CN"/>
        </w:rPr>
        <w:t>4类企业（</w:t>
      </w:r>
      <w:r>
        <w:rPr>
          <w:rFonts w:hint="eastAsia" w:ascii="黑体" w:hAnsi="宋体"/>
          <w:szCs w:val="22"/>
          <w:lang w:eastAsia="zh-CN"/>
        </w:rPr>
        <w:t>省内食盐定点生产企业、定点批发企业、</w:t>
      </w:r>
      <w:r>
        <w:rPr>
          <w:rFonts w:hint="eastAsia" w:ascii="黑体" w:hAnsi="宋体" w:eastAsia="宋体"/>
          <w:sz w:val="24"/>
          <w:szCs w:val="22"/>
        </w:rPr>
        <w:t>工业盐生产企业以及在山东省内开展食盐</w:t>
      </w:r>
      <w:r>
        <w:rPr>
          <w:rFonts w:hint="eastAsia" w:ascii="黑体" w:hAnsi="宋体"/>
          <w:sz w:val="24"/>
          <w:szCs w:val="22"/>
          <w:lang w:eastAsia="zh-CN"/>
        </w:rPr>
        <w:t>经营</w:t>
      </w:r>
      <w:r>
        <w:rPr>
          <w:rFonts w:hint="eastAsia" w:ascii="黑体" w:hAnsi="宋体" w:eastAsia="宋体"/>
          <w:sz w:val="24"/>
          <w:szCs w:val="22"/>
        </w:rPr>
        <w:t>业务的省外省级食盐定点批发企业</w:t>
      </w:r>
      <w:r>
        <w:rPr>
          <w:rFonts w:hint="eastAsia" w:ascii="黑体" w:hAnsi="宋体"/>
          <w:szCs w:val="22"/>
          <w:lang w:val="en-US" w:eastAsia="zh-CN"/>
        </w:rPr>
        <w:t>），应按如下审核流程纳入系统：</w:t>
      </w:r>
    </w:p>
    <w:p>
      <w:pPr>
        <w:numPr>
          <w:ilvl w:val="-1"/>
          <w:numId w:val="0"/>
        </w:numPr>
        <w:ind w:left="0" w:leftChars="0" w:firstLine="0" w:firstLineChars="0"/>
        <w:rPr>
          <w:rFonts w:hint="eastAsia" w:ascii="黑体" w:hAnsi="宋体" w:eastAsia="宋体"/>
          <w:szCs w:val="22"/>
          <w:lang w:eastAsia="zh-CN"/>
        </w:rPr>
      </w:pPr>
      <w:r>
        <w:rPr>
          <w:rFonts w:hint="eastAsia" w:ascii="黑体" w:hAnsi="宋体"/>
          <w:szCs w:val="22"/>
          <w:lang w:val="en-US" w:eastAsia="zh-CN"/>
        </w:rPr>
        <w:t>1、</w:t>
      </w:r>
      <w:r>
        <w:rPr>
          <w:rFonts w:hint="eastAsia" w:ascii="黑体" w:hAnsi="宋体"/>
          <w:szCs w:val="22"/>
          <w:lang w:eastAsia="zh-CN"/>
        </w:rPr>
        <w:t>省内食盐定点生产企业、定点批发企业：向所在市工业和信息化局负责盐业管理的科室申领账号密码</w:t>
      </w:r>
      <w:r>
        <w:rPr>
          <w:rFonts w:hint="eastAsia" w:ascii="黑体" w:hAnsi="宋体"/>
          <w:b/>
          <w:bCs/>
          <w:szCs w:val="22"/>
          <w:lang w:eastAsia="zh-CN"/>
        </w:rPr>
        <w:t>。</w:t>
      </w:r>
    </w:p>
    <w:p>
      <w:pPr>
        <w:numPr>
          <w:ilvl w:val="-1"/>
          <w:numId w:val="0"/>
        </w:numPr>
        <w:ind w:left="0" w:leftChars="0" w:firstLine="0" w:firstLineChars="0"/>
        <w:rPr>
          <w:rFonts w:hint="eastAsia" w:ascii="黑体" w:hAnsi="宋体"/>
          <w:szCs w:val="22"/>
        </w:rPr>
      </w:pPr>
      <w:r>
        <w:rPr>
          <w:rFonts w:hint="eastAsia" w:ascii="黑体" w:hAnsi="宋体"/>
          <w:szCs w:val="22"/>
          <w:lang w:val="en-US" w:eastAsia="zh-CN"/>
        </w:rPr>
        <w:t>2、</w:t>
      </w:r>
      <w:r>
        <w:rPr>
          <w:rFonts w:hint="eastAsia" w:ascii="黑体" w:hAnsi="宋体"/>
          <w:szCs w:val="22"/>
        </w:rPr>
        <w:t>工业盐</w:t>
      </w:r>
      <w:r>
        <w:rPr>
          <w:rFonts w:hint="eastAsia" w:ascii="黑体" w:hAnsi="宋体"/>
          <w:szCs w:val="22"/>
          <w:lang w:eastAsia="zh-CN"/>
        </w:rPr>
        <w:t>生产</w:t>
      </w:r>
      <w:r>
        <w:rPr>
          <w:rFonts w:hint="eastAsia" w:ascii="黑体" w:hAnsi="宋体"/>
          <w:szCs w:val="22"/>
        </w:rPr>
        <w:t>企业</w:t>
      </w:r>
      <w:r>
        <w:rPr>
          <w:rFonts w:hint="eastAsia" w:ascii="黑体" w:hAnsi="宋体"/>
          <w:szCs w:val="22"/>
          <w:lang w:eastAsia="zh-CN"/>
        </w:rPr>
        <w:t>：</w:t>
      </w:r>
      <w:r>
        <w:rPr>
          <w:rFonts w:hint="eastAsia" w:ascii="黑体" w:hAnsi="宋体" w:eastAsia="宋体"/>
          <w:sz w:val="24"/>
          <w:szCs w:val="22"/>
          <w:lang w:eastAsia="zh-CN"/>
        </w:rPr>
        <w:t>提供营业执照、企业负责人和联系人及联系方式，经</w:t>
      </w:r>
      <w:r>
        <w:rPr>
          <w:rFonts w:hint="eastAsia" w:ascii="黑体" w:hAnsi="宋体" w:eastAsia="宋体"/>
          <w:sz w:val="24"/>
          <w:szCs w:val="22"/>
        </w:rPr>
        <w:t>所在市盐业主管部门审核后</w:t>
      </w:r>
      <w:r>
        <w:rPr>
          <w:rFonts w:hint="eastAsia" w:ascii="黑体" w:hAnsi="宋体" w:eastAsia="宋体"/>
          <w:sz w:val="24"/>
          <w:szCs w:val="22"/>
          <w:lang w:eastAsia="zh-CN"/>
        </w:rPr>
        <w:t>报省工业和信息化厅审批，获得账号后</w:t>
      </w:r>
      <w:r>
        <w:rPr>
          <w:rFonts w:hint="eastAsia" w:ascii="黑体" w:hAnsi="宋体" w:eastAsia="宋体"/>
          <w:sz w:val="24"/>
          <w:szCs w:val="22"/>
        </w:rPr>
        <w:t>纳入系统</w:t>
      </w:r>
      <w:r>
        <w:rPr>
          <w:rFonts w:hint="eastAsia" w:ascii="黑体" w:hAnsi="宋体" w:eastAsia="宋体"/>
          <w:sz w:val="24"/>
          <w:szCs w:val="22"/>
          <w:lang w:eastAsia="zh-CN"/>
        </w:rPr>
        <w:t>进行填报</w:t>
      </w:r>
      <w:r>
        <w:rPr>
          <w:rFonts w:hint="eastAsia" w:ascii="黑体" w:hAnsi="宋体"/>
          <w:szCs w:val="22"/>
          <w:lang w:eastAsia="zh-CN"/>
        </w:rPr>
        <w:t>。</w:t>
      </w:r>
    </w:p>
    <w:p>
      <w:pPr>
        <w:numPr>
          <w:ilvl w:val="-1"/>
          <w:numId w:val="0"/>
        </w:numPr>
        <w:ind w:left="0" w:leftChars="0" w:firstLine="0" w:firstLineChars="0"/>
        <w:rPr>
          <w:rFonts w:ascii="黑体" w:hAnsi="宋体"/>
          <w:szCs w:val="22"/>
        </w:rPr>
      </w:pPr>
      <w:r>
        <w:rPr>
          <w:rFonts w:hint="eastAsia" w:ascii="黑体" w:hAnsi="宋体"/>
          <w:szCs w:val="22"/>
          <w:lang w:val="en-US" w:eastAsia="zh-CN"/>
        </w:rPr>
        <w:t>3、</w:t>
      </w:r>
      <w:r>
        <w:rPr>
          <w:rFonts w:hint="eastAsia" w:ascii="黑体" w:hAnsi="宋体"/>
          <w:szCs w:val="22"/>
        </w:rPr>
        <w:t>跨区域在山东开展食盐</w:t>
      </w:r>
      <w:r>
        <w:rPr>
          <w:rFonts w:hint="eastAsia" w:ascii="黑体" w:hAnsi="宋体"/>
          <w:szCs w:val="22"/>
          <w:lang w:eastAsia="zh-CN"/>
        </w:rPr>
        <w:t>经营</w:t>
      </w:r>
      <w:r>
        <w:rPr>
          <w:rFonts w:hint="eastAsia" w:ascii="黑体" w:hAnsi="宋体"/>
          <w:szCs w:val="22"/>
        </w:rPr>
        <w:t>业务的省外盐企：提供</w:t>
      </w:r>
      <w:r>
        <w:rPr>
          <w:rFonts w:hint="eastAsia" w:ascii="黑体" w:hAnsi="宋体" w:eastAsia="宋体"/>
          <w:sz w:val="24"/>
          <w:szCs w:val="22"/>
        </w:rPr>
        <w:t>食盐</w:t>
      </w:r>
      <w:r>
        <w:rPr>
          <w:rFonts w:hint="eastAsia" w:ascii="黑体" w:hAnsi="宋体" w:eastAsia="宋体"/>
          <w:sz w:val="24"/>
          <w:szCs w:val="22"/>
          <w:lang w:eastAsia="zh-CN"/>
        </w:rPr>
        <w:t>定点</w:t>
      </w:r>
      <w:r>
        <w:rPr>
          <w:rFonts w:hint="eastAsia" w:ascii="黑体" w:hAnsi="宋体" w:eastAsia="宋体"/>
          <w:sz w:val="24"/>
          <w:szCs w:val="22"/>
        </w:rPr>
        <w:t>批发</w:t>
      </w:r>
      <w:r>
        <w:rPr>
          <w:rFonts w:hint="eastAsia" w:ascii="黑体" w:hAnsi="宋体" w:eastAsia="宋体"/>
          <w:sz w:val="24"/>
          <w:szCs w:val="22"/>
          <w:lang w:eastAsia="zh-CN"/>
        </w:rPr>
        <w:t>企业</w:t>
      </w:r>
      <w:r>
        <w:rPr>
          <w:rFonts w:hint="eastAsia" w:ascii="黑体" w:hAnsi="宋体" w:eastAsia="宋体"/>
          <w:sz w:val="24"/>
          <w:szCs w:val="22"/>
        </w:rPr>
        <w:t>证书、企业联系人及联系方式、所销售的食盐品种及依据标准、在山东</w:t>
      </w:r>
      <w:r>
        <w:rPr>
          <w:rFonts w:hint="eastAsia" w:ascii="黑体" w:hAnsi="宋体" w:eastAsia="宋体"/>
          <w:sz w:val="24"/>
          <w:szCs w:val="22"/>
          <w:lang w:eastAsia="zh-CN"/>
        </w:rPr>
        <w:t>省内经营的方式（自建分公司的应提供</w:t>
      </w:r>
      <w:r>
        <w:rPr>
          <w:rFonts w:hint="eastAsia" w:ascii="黑体" w:hAnsi="宋体" w:eastAsia="宋体"/>
          <w:sz w:val="24"/>
          <w:szCs w:val="22"/>
        </w:rPr>
        <w:t>分公司</w:t>
      </w:r>
      <w:r>
        <w:rPr>
          <w:rFonts w:hint="eastAsia" w:ascii="黑体" w:hAnsi="宋体" w:eastAsia="宋体"/>
          <w:sz w:val="24"/>
          <w:szCs w:val="22"/>
          <w:lang w:eastAsia="zh-CN"/>
        </w:rPr>
        <w:t>营业执照复印件及其负责人姓名和联系方式；自建销售网点的应提供销售网点地址、名称等注册信息及其负责人姓名和联系方式；自建物流系统或委托第三方物流企业配送的，应提供物流企业资质的相关证照复印件及其负责人姓名和联系方式、第三方物流企业与企业的委托配送食盐合同复印件以及自有运输工具和仓库等证明材料。）</w:t>
      </w:r>
      <w:r>
        <w:rPr>
          <w:rFonts w:hint="eastAsia" w:ascii="黑体" w:hAnsi="宋体" w:eastAsia="宋体"/>
          <w:sz w:val="24"/>
          <w:szCs w:val="22"/>
        </w:rPr>
        <w:t>相关资料扫描件</w:t>
      </w:r>
      <w:r>
        <w:rPr>
          <w:rFonts w:hint="eastAsia" w:ascii="黑体" w:hAnsi="宋体" w:eastAsia="宋体"/>
          <w:sz w:val="24"/>
          <w:szCs w:val="22"/>
          <w:lang w:eastAsia="zh-CN"/>
        </w:rPr>
        <w:t>或图片</w:t>
      </w:r>
      <w:r>
        <w:rPr>
          <w:rFonts w:hint="eastAsia" w:ascii="黑体" w:hAnsi="宋体" w:eastAsia="宋体"/>
          <w:sz w:val="24"/>
          <w:szCs w:val="22"/>
        </w:rPr>
        <w:t>发送</w:t>
      </w:r>
      <w:r>
        <w:rPr>
          <w:rFonts w:hint="eastAsia" w:ascii="黑体" w:hAnsi="宋体"/>
          <w:b/>
          <w:bCs/>
          <w:szCs w:val="22"/>
        </w:rPr>
        <w:t>sdyy@shandong.cn</w:t>
      </w:r>
      <w:r>
        <w:rPr>
          <w:rFonts w:hint="eastAsia" w:ascii="黑体" w:hAnsi="宋体"/>
          <w:szCs w:val="22"/>
        </w:rPr>
        <w:t>并电话告知</w:t>
      </w:r>
      <w:r>
        <w:rPr>
          <w:rFonts w:hint="eastAsia" w:ascii="黑体" w:hAnsi="宋体"/>
          <w:b/>
          <w:bCs/>
          <w:szCs w:val="22"/>
          <w:lang w:val="en-US" w:eastAsia="zh-CN"/>
        </w:rPr>
        <w:t>0531-</w:t>
      </w:r>
      <w:r>
        <w:rPr>
          <w:rFonts w:hint="eastAsia" w:ascii="黑体" w:hAnsi="宋体"/>
          <w:b/>
          <w:bCs/>
          <w:szCs w:val="22"/>
        </w:rPr>
        <w:t>51782638或51782633</w:t>
      </w:r>
      <w:r>
        <w:rPr>
          <w:rFonts w:hint="eastAsia" w:ascii="黑体" w:hAnsi="宋体"/>
          <w:sz w:val="24"/>
          <w:szCs w:val="22"/>
          <w:lang w:eastAsia="zh-CN"/>
        </w:rPr>
        <w:t>，</w:t>
      </w:r>
      <w:r>
        <w:rPr>
          <w:rFonts w:hint="eastAsia" w:ascii="黑体" w:hAnsi="宋体" w:eastAsia="宋体"/>
          <w:sz w:val="24"/>
          <w:szCs w:val="22"/>
          <w:lang w:eastAsia="zh-CN"/>
        </w:rPr>
        <w:t>经省工业和信息化厅审核确认后获得账号纳入系统进行填报</w:t>
      </w:r>
      <w:r>
        <w:rPr>
          <w:rFonts w:hint="eastAsia" w:ascii="黑体" w:hAnsi="宋体"/>
          <w:b/>
          <w:bCs/>
          <w:szCs w:val="22"/>
          <w:lang w:eastAsia="zh-CN"/>
        </w:rPr>
        <w:t>。</w:t>
      </w:r>
    </w:p>
    <w:p>
      <w:pPr>
        <w:pStyle w:val="3"/>
      </w:pPr>
      <w:bookmarkStart w:id="78" w:name="_Toc27956"/>
      <w:bookmarkStart w:id="79" w:name="_Toc9878"/>
      <w:bookmarkStart w:id="80" w:name="_Toc7778"/>
      <w:bookmarkStart w:id="81" w:name="_Toc23531"/>
      <w:bookmarkStart w:id="82" w:name="_Toc3943"/>
      <w:bookmarkStart w:id="83" w:name="_Toc7497"/>
      <w:bookmarkStart w:id="84" w:name="_Toc1154"/>
      <w:bookmarkStart w:id="85" w:name="_Toc14573"/>
      <w:bookmarkStart w:id="86" w:name="_Toc29530"/>
      <w:r>
        <w:rPr>
          <w:rFonts w:hint="eastAsia"/>
        </w:rPr>
        <w:t>企业角色</w:t>
      </w:r>
      <w:bookmarkEnd w:id="78"/>
      <w:bookmarkEnd w:id="79"/>
      <w:r>
        <w:rPr>
          <w:rFonts w:hint="eastAsia"/>
          <w:lang w:eastAsia="zh-CN"/>
        </w:rPr>
        <w:t>和填报说明</w:t>
      </w:r>
      <w:bookmarkEnd w:id="80"/>
      <w:bookmarkEnd w:id="81"/>
      <w:bookmarkEnd w:id="82"/>
      <w:bookmarkEnd w:id="83"/>
      <w:bookmarkEnd w:id="84"/>
      <w:bookmarkEnd w:id="85"/>
      <w:bookmarkEnd w:id="86"/>
    </w:p>
    <w:p>
      <w:pPr>
        <w:pStyle w:val="4"/>
        <w:bidi w:val="0"/>
        <w:rPr>
          <w:rFonts w:hint="eastAsia"/>
          <w:i w:val="0"/>
          <w:iCs w:val="0"/>
          <w:lang w:val="en-US" w:eastAsia="zh-CN"/>
        </w:rPr>
      </w:pPr>
      <w:r>
        <w:rPr>
          <w:rFonts w:hint="eastAsia"/>
          <w:i w:val="0"/>
          <w:iCs w:val="0"/>
          <w:lang w:val="en-US" w:eastAsia="zh-CN"/>
        </w:rPr>
        <w:t>填报说明</w:t>
      </w:r>
    </w:p>
    <w:p>
      <w:pPr>
        <w:numPr>
          <w:ilvl w:val="-1"/>
          <w:numId w:val="0"/>
        </w:numPr>
        <w:rPr>
          <w:rFonts w:hint="eastAsia"/>
          <w:lang w:val="en-US" w:eastAsia="zh-CN"/>
        </w:rPr>
      </w:pPr>
      <w:r>
        <w:rPr>
          <w:rFonts w:hint="eastAsia"/>
          <w:lang w:val="en-US" w:eastAsia="zh-CN"/>
        </w:rPr>
        <w:t>1、报送时限</w:t>
      </w:r>
      <w:r>
        <w:rPr>
          <w:rFonts w:hint="eastAsia"/>
          <w:lang w:val="en-US" w:eastAsia="zh-CN"/>
        </w:rPr>
        <w:br w:type="textWrapping"/>
      </w:r>
      <w:r>
        <w:rPr>
          <w:rFonts w:hint="eastAsia"/>
          <w:lang w:val="en-US" w:eastAsia="zh-CN"/>
        </w:rPr>
        <w:t>（1）《盐行业企业基本情况表》：年报表，次年3月20日前报送上年度数据。</w:t>
      </w:r>
      <w:r>
        <w:rPr>
          <w:rFonts w:hint="eastAsia"/>
          <w:lang w:val="en-US" w:eastAsia="zh-CN"/>
        </w:rPr>
        <w:br w:type="textWrapping"/>
      </w:r>
      <w:r>
        <w:rPr>
          <w:rFonts w:hint="eastAsia"/>
          <w:lang w:val="en-US" w:eastAsia="zh-CN"/>
        </w:rPr>
        <w:t>（2）《制盐企业产品产销存定期报表》：月报表，次月15日前报送上一月数据，12月数据可延迟到次年3月20日前。</w:t>
      </w:r>
      <w:r>
        <w:rPr>
          <w:rFonts w:hint="eastAsia"/>
          <w:lang w:val="en-US" w:eastAsia="zh-CN"/>
        </w:rPr>
        <w:br w:type="textWrapping"/>
      </w:r>
      <w:r>
        <w:rPr>
          <w:rFonts w:hint="eastAsia"/>
          <w:lang w:val="en-US" w:eastAsia="zh-CN"/>
        </w:rPr>
        <w:t>（3）</w:t>
      </w:r>
      <w:r>
        <w:rPr>
          <w:rFonts w:hint="eastAsia"/>
        </w:rPr>
        <w:t>《盐业批发企业购销存定期报表》</w:t>
      </w:r>
      <w:r>
        <w:rPr>
          <w:rFonts w:hint="eastAsia"/>
          <w:lang w:eastAsia="zh-CN"/>
        </w:rPr>
        <w:t>：同</w:t>
      </w:r>
      <w:r>
        <w:rPr>
          <w:rFonts w:hint="eastAsia"/>
          <w:lang w:val="en-US" w:eastAsia="zh-CN"/>
        </w:rPr>
        <w:t>《制盐企业产品产销存定期报表》。</w:t>
      </w:r>
      <w:r>
        <w:rPr>
          <w:rFonts w:hint="eastAsia"/>
          <w:lang w:val="en-US" w:eastAsia="zh-CN"/>
        </w:rPr>
        <w:br w:type="textWrapping"/>
      </w:r>
      <w:r>
        <w:rPr>
          <w:rFonts w:hint="eastAsia"/>
          <w:lang w:val="en-US" w:eastAsia="zh-CN"/>
        </w:rPr>
        <w:t>（4）《跨省、区食盐销售情况备案表》：季度报表，每季度结束15日内报送。</w:t>
      </w:r>
    </w:p>
    <w:p>
      <w:pPr>
        <w:numPr>
          <w:ilvl w:val="-1"/>
          <w:numId w:val="0"/>
        </w:numPr>
        <w:rPr>
          <w:rFonts w:hint="eastAsia"/>
          <w:lang w:val="en-US" w:eastAsia="zh-CN"/>
        </w:rPr>
      </w:pPr>
      <w:r>
        <w:rPr>
          <w:rFonts w:hint="eastAsia"/>
          <w:lang w:val="en-US" w:eastAsia="zh-CN"/>
        </w:rPr>
        <w:t>2、数据审核流程</w:t>
      </w:r>
    </w:p>
    <w:p>
      <w:pPr>
        <w:numPr>
          <w:ilvl w:val="-1"/>
          <w:numId w:val="0"/>
        </w:numPr>
        <w:rPr>
          <w:rFonts w:hint="eastAsia"/>
          <w:lang w:val="en-US" w:eastAsia="zh-CN"/>
        </w:rPr>
      </w:pPr>
      <w:r>
        <w:rPr>
          <w:rFonts w:hint="eastAsia"/>
          <w:lang w:val="en-US" w:eastAsia="zh-CN"/>
        </w:rPr>
        <w:t>省内企业：企业填报→市级审核→省级审核</w:t>
      </w:r>
    </w:p>
    <w:p>
      <w:pPr>
        <w:numPr>
          <w:ilvl w:val="-1"/>
          <w:numId w:val="0"/>
        </w:numPr>
        <w:rPr>
          <w:rFonts w:hint="eastAsia"/>
          <w:lang w:val="en-US" w:eastAsia="zh-CN"/>
        </w:rPr>
      </w:pPr>
      <w:r>
        <w:rPr>
          <w:rFonts w:hint="eastAsia"/>
          <w:lang w:val="en-US" w:eastAsia="zh-CN"/>
        </w:rPr>
        <w:t>省外企业：企业填报→省级审核</w:t>
      </w:r>
    </w:p>
    <w:p>
      <w:pPr>
        <w:numPr>
          <w:ilvl w:val="-1"/>
          <w:numId w:val="0"/>
        </w:numPr>
        <w:rPr>
          <w:rFonts w:hint="eastAsia"/>
          <w:lang w:val="en-US" w:eastAsia="zh-CN"/>
        </w:rPr>
      </w:pPr>
      <w:r>
        <w:rPr>
          <w:rFonts w:hint="eastAsia"/>
          <w:lang w:val="en-US" w:eastAsia="zh-CN"/>
        </w:rPr>
        <w:t>3、食盐定点生产企业</w:t>
      </w:r>
    </w:p>
    <w:p>
      <w:pPr>
        <w:numPr>
          <w:ilvl w:val="0"/>
          <w:numId w:val="0"/>
        </w:numPr>
        <w:rPr>
          <w:rFonts w:hint="eastAsia"/>
          <w:lang w:val="en-US" w:eastAsia="zh-CN"/>
        </w:rPr>
      </w:pPr>
      <w:r>
        <w:rPr>
          <w:rFonts w:hint="eastAsia"/>
          <w:lang w:val="en-US" w:eastAsia="zh-CN"/>
        </w:rPr>
        <w:t>食盐定点生产企业填报《盐行业企业基本情况表》、《制盐企业产品产销存定期报表》、《跨省、区食盐销售情况备案表》三个报表。</w:t>
      </w:r>
    </w:p>
    <w:p>
      <w:pPr>
        <w:numPr>
          <w:ilvl w:val="0"/>
          <w:numId w:val="0"/>
        </w:numPr>
        <w:rPr>
          <w:rFonts w:hint="eastAsia"/>
          <w:lang w:val="en-US" w:eastAsia="zh-CN"/>
        </w:rPr>
      </w:pPr>
      <w:r>
        <w:rPr>
          <w:rFonts w:hint="eastAsia"/>
          <w:lang w:val="en-US" w:eastAsia="zh-CN"/>
        </w:rPr>
        <w:t>《跨省、区食盐销售情况备案表》填报注意事项：</w:t>
      </w:r>
      <w:r>
        <w:rPr>
          <w:rFonts w:hint="eastAsia" w:ascii="黑体" w:hAnsi="宋体"/>
          <w:b/>
          <w:bCs/>
          <w:szCs w:val="22"/>
        </w:rPr>
        <w:t>省内食盐定点生产企业</w:t>
      </w:r>
      <w:r>
        <w:rPr>
          <w:rFonts w:hint="eastAsia" w:ascii="黑体" w:hAnsi="宋体"/>
          <w:b/>
          <w:bCs/>
          <w:szCs w:val="22"/>
          <w:lang w:eastAsia="zh-CN"/>
        </w:rPr>
        <w:t>，</w:t>
      </w:r>
      <w:r>
        <w:rPr>
          <w:rFonts w:hint="eastAsia" w:ascii="黑体" w:hAnsi="宋体"/>
          <w:b/>
          <w:bCs/>
          <w:szCs w:val="22"/>
        </w:rPr>
        <w:t>只填写非批发企业渠道的省内食盐销售情况（含本行政区域销售情况）</w:t>
      </w:r>
      <w:r>
        <w:rPr>
          <w:rFonts w:hint="eastAsia" w:ascii="黑体" w:hAnsi="宋体"/>
          <w:b/>
          <w:bCs/>
          <w:szCs w:val="22"/>
          <w:lang w:eastAsia="zh-CN"/>
        </w:rPr>
        <w:t>。</w:t>
      </w:r>
    </w:p>
    <w:p>
      <w:pPr>
        <w:numPr>
          <w:ilvl w:val="0"/>
          <w:numId w:val="0"/>
        </w:numPr>
        <w:rPr>
          <w:rFonts w:hint="eastAsia"/>
          <w:lang w:val="en-US" w:eastAsia="zh-CN"/>
        </w:rPr>
      </w:pPr>
      <w:r>
        <w:rPr>
          <w:rFonts w:hint="eastAsia"/>
          <w:lang w:val="en-US" w:eastAsia="zh-CN"/>
        </w:rPr>
        <w:drawing>
          <wp:inline distT="0" distB="0" distL="114300" distR="114300">
            <wp:extent cx="5266690" cy="2477135"/>
            <wp:effectExtent l="0" t="0" r="6350" b="698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7"/>
                    <a:stretch>
                      <a:fillRect/>
                    </a:stretch>
                  </pic:blipFill>
                  <pic:spPr>
                    <a:xfrm>
                      <a:off x="0" y="0"/>
                      <a:ext cx="5266690" cy="2477135"/>
                    </a:xfrm>
                    <a:prstGeom prst="rect">
                      <a:avLst/>
                    </a:prstGeom>
                    <a:noFill/>
                    <a:ln>
                      <a:noFill/>
                    </a:ln>
                  </pic:spPr>
                </pic:pic>
              </a:graphicData>
            </a:graphic>
          </wp:inline>
        </w:drawing>
      </w:r>
    </w:p>
    <w:p>
      <w:pPr>
        <w:numPr>
          <w:ilvl w:val="0"/>
          <w:numId w:val="0"/>
        </w:numPr>
        <w:jc w:val="center"/>
        <w:rPr>
          <w:rFonts w:hint="default"/>
          <w:lang w:val="en-US" w:eastAsia="zh-CN"/>
        </w:rPr>
      </w:pPr>
      <w:r>
        <w:rPr>
          <w:rFonts w:hint="eastAsia"/>
          <w:lang w:val="en-US" w:eastAsia="zh-CN"/>
        </w:rPr>
        <w:t>图1</w:t>
      </w:r>
    </w:p>
    <w:p>
      <w:pPr>
        <w:numPr>
          <w:ilvl w:val="0"/>
          <w:numId w:val="0"/>
        </w:numPr>
        <w:rPr>
          <w:rFonts w:hint="eastAsia"/>
          <w:lang w:val="en-US" w:eastAsia="zh-CN"/>
        </w:rPr>
      </w:pPr>
      <w:r>
        <w:rPr>
          <w:rFonts w:hint="eastAsia"/>
          <w:lang w:val="en-US" w:eastAsia="zh-CN"/>
        </w:rPr>
        <w:drawing>
          <wp:inline distT="0" distB="0" distL="114300" distR="114300">
            <wp:extent cx="5266690" cy="2477135"/>
            <wp:effectExtent l="0" t="0" r="6350" b="698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8"/>
                    <a:stretch>
                      <a:fillRect/>
                    </a:stretch>
                  </pic:blipFill>
                  <pic:spPr>
                    <a:xfrm>
                      <a:off x="0" y="0"/>
                      <a:ext cx="5266690" cy="2477135"/>
                    </a:xfrm>
                    <a:prstGeom prst="rect">
                      <a:avLst/>
                    </a:prstGeom>
                    <a:noFill/>
                    <a:ln>
                      <a:noFill/>
                    </a:ln>
                  </pic:spPr>
                </pic:pic>
              </a:graphicData>
            </a:graphic>
          </wp:inline>
        </w:drawing>
      </w:r>
    </w:p>
    <w:p>
      <w:pPr>
        <w:numPr>
          <w:ilvl w:val="0"/>
          <w:numId w:val="0"/>
        </w:numPr>
        <w:jc w:val="center"/>
        <w:rPr>
          <w:rFonts w:hint="default"/>
          <w:lang w:val="en-US" w:eastAsia="zh-CN"/>
        </w:rPr>
      </w:pPr>
      <w:r>
        <w:rPr>
          <w:rFonts w:hint="eastAsia"/>
          <w:lang w:val="en-US" w:eastAsia="zh-CN"/>
        </w:rPr>
        <w:t>图2</w:t>
      </w:r>
    </w:p>
    <w:p>
      <w:pPr>
        <w:numPr>
          <w:ilvl w:val="-1"/>
          <w:numId w:val="0"/>
        </w:numPr>
        <w:ind w:left="0" w:leftChars="0" w:firstLine="0" w:firstLineChars="0"/>
        <w:rPr>
          <w:rFonts w:hint="eastAsia"/>
          <w:lang w:val="en-US" w:eastAsia="zh-CN"/>
        </w:rPr>
      </w:pPr>
      <w:r>
        <w:rPr>
          <w:rFonts w:hint="eastAsia"/>
          <w:lang w:val="en-US" w:eastAsia="zh-CN"/>
        </w:rPr>
        <w:t>4、食盐定点批发企业</w:t>
      </w:r>
    </w:p>
    <w:p>
      <w:pPr>
        <w:numPr>
          <w:ilvl w:val="0"/>
          <w:numId w:val="0"/>
        </w:numPr>
        <w:ind w:leftChars="0"/>
        <w:rPr>
          <w:rFonts w:hint="eastAsia"/>
          <w:lang w:val="en-US" w:eastAsia="zh-CN"/>
        </w:rPr>
      </w:pPr>
      <w:r>
        <w:rPr>
          <w:rFonts w:hint="eastAsia"/>
          <w:lang w:val="en-US" w:eastAsia="zh-CN"/>
        </w:rPr>
        <w:t>注：省内食盐定点生产企业无需上报此部分数据。</w:t>
      </w:r>
      <w:bookmarkStart w:id="128" w:name="_GoBack"/>
      <w:bookmarkEnd w:id="128"/>
    </w:p>
    <w:p>
      <w:pPr>
        <w:numPr>
          <w:ilvl w:val="0"/>
          <w:numId w:val="0"/>
        </w:numPr>
        <w:ind w:leftChars="0"/>
        <w:rPr>
          <w:rFonts w:hint="eastAsia"/>
          <w:lang w:val="en-US" w:eastAsia="zh-CN"/>
        </w:rPr>
      </w:pPr>
      <w:r>
        <w:rPr>
          <w:rFonts w:hint="eastAsia"/>
          <w:lang w:val="en-US" w:eastAsia="zh-CN"/>
        </w:rPr>
        <w:t>省内食盐定点批发企业填报《盐行业企业基本情况表》、《盐业批发企业购销存定期报表》、《跨省、区食盐销售情况备案表》三个报表；省外食盐定点批发企业填报《跨省、区食盐销售情况备案表》。</w:t>
      </w:r>
    </w:p>
    <w:p>
      <w:pPr>
        <w:numPr>
          <w:ilvl w:val="0"/>
          <w:numId w:val="0"/>
        </w:numPr>
        <w:ind w:leftChars="0"/>
        <w:rPr>
          <w:rFonts w:hint="eastAsia"/>
          <w:lang w:val="en-US" w:eastAsia="zh-CN"/>
        </w:rPr>
      </w:pPr>
      <w:r>
        <w:rPr>
          <w:rFonts w:hint="eastAsia"/>
          <w:lang w:val="en-US" w:eastAsia="zh-CN"/>
        </w:rPr>
        <w:t>《跨省、区食盐销售情况备案表》填报注意事项：</w:t>
      </w:r>
      <w:r>
        <w:rPr>
          <w:rFonts w:hint="eastAsia" w:ascii="黑体" w:hAnsi="宋体"/>
          <w:szCs w:val="22"/>
        </w:rPr>
        <w:t>省内食盐定点批发企业填写食盐销售情况（含本行政区域销售情况）；外省来山东开展食盐</w:t>
      </w:r>
      <w:r>
        <w:rPr>
          <w:rFonts w:hint="eastAsia" w:ascii="黑体" w:hAnsi="宋体"/>
          <w:szCs w:val="22"/>
          <w:lang w:eastAsia="zh-CN"/>
        </w:rPr>
        <w:t>经营</w:t>
      </w:r>
      <w:r>
        <w:rPr>
          <w:rFonts w:hint="eastAsia" w:ascii="黑体" w:hAnsi="宋体"/>
          <w:szCs w:val="22"/>
        </w:rPr>
        <w:t>业务的食盐企业填写在山东省内</w:t>
      </w:r>
      <w:r>
        <w:rPr>
          <w:rFonts w:hint="eastAsia" w:ascii="黑体" w:hAnsi="宋体"/>
          <w:szCs w:val="22"/>
          <w:lang w:eastAsia="zh-CN"/>
        </w:rPr>
        <w:t>各县级区域</w:t>
      </w:r>
      <w:r>
        <w:rPr>
          <w:rFonts w:hint="eastAsia" w:ascii="黑体" w:hAnsi="宋体"/>
          <w:szCs w:val="22"/>
        </w:rPr>
        <w:t>的食盐销售情况</w:t>
      </w:r>
      <w:r>
        <w:rPr>
          <w:rFonts w:hint="eastAsia" w:ascii="黑体" w:hAnsi="宋体"/>
          <w:szCs w:val="22"/>
          <w:lang w:eastAsia="zh-CN"/>
        </w:rPr>
        <w:t>。</w:t>
      </w:r>
    </w:p>
    <w:p>
      <w:pPr>
        <w:numPr>
          <w:ilvl w:val="0"/>
          <w:numId w:val="0"/>
        </w:numPr>
        <w:ind w:leftChars="0"/>
        <w:rPr>
          <w:rFonts w:hint="eastAsia"/>
          <w:lang w:val="en-US" w:eastAsia="zh-CN"/>
        </w:rPr>
      </w:pPr>
      <w:r>
        <w:rPr>
          <w:rFonts w:hint="eastAsia"/>
          <w:lang w:val="en-US" w:eastAsia="zh-CN"/>
        </w:rPr>
        <w:drawing>
          <wp:inline distT="0" distB="0" distL="114300" distR="114300">
            <wp:extent cx="5266690" cy="2477135"/>
            <wp:effectExtent l="0" t="0" r="6350" b="6985"/>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9"/>
                    <a:stretch>
                      <a:fillRect/>
                    </a:stretch>
                  </pic:blipFill>
                  <pic:spPr>
                    <a:xfrm>
                      <a:off x="0" y="0"/>
                      <a:ext cx="5266690" cy="2477135"/>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图1</w:t>
      </w:r>
    </w:p>
    <w:p>
      <w:pPr>
        <w:numPr>
          <w:ilvl w:val="0"/>
          <w:numId w:val="0"/>
        </w:numPr>
        <w:ind w:leftChars="0"/>
        <w:rPr>
          <w:rFonts w:hint="eastAsia"/>
          <w:lang w:val="en-US" w:eastAsia="zh-CN"/>
        </w:rPr>
      </w:pPr>
      <w:r>
        <w:rPr>
          <w:rFonts w:hint="eastAsia"/>
          <w:lang w:val="en-US" w:eastAsia="zh-CN"/>
        </w:rPr>
        <w:drawing>
          <wp:inline distT="0" distB="0" distL="114300" distR="114300">
            <wp:extent cx="5266690" cy="2477135"/>
            <wp:effectExtent l="0" t="0" r="6350" b="698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10"/>
                    <a:stretch>
                      <a:fillRect/>
                    </a:stretch>
                  </pic:blipFill>
                  <pic:spPr>
                    <a:xfrm>
                      <a:off x="0" y="0"/>
                      <a:ext cx="5266690" cy="2477135"/>
                    </a:xfrm>
                    <a:prstGeom prst="rect">
                      <a:avLst/>
                    </a:prstGeom>
                    <a:noFill/>
                    <a:ln>
                      <a:noFill/>
                    </a:ln>
                  </pic:spPr>
                </pic:pic>
              </a:graphicData>
            </a:graphic>
          </wp:inline>
        </w:drawing>
      </w:r>
    </w:p>
    <w:p>
      <w:pPr>
        <w:numPr>
          <w:ilvl w:val="0"/>
          <w:numId w:val="0"/>
        </w:numPr>
        <w:ind w:leftChars="0"/>
        <w:jc w:val="center"/>
        <w:rPr>
          <w:rFonts w:hint="default"/>
          <w:lang w:val="en-US" w:eastAsia="zh-CN"/>
        </w:rPr>
      </w:pPr>
      <w:r>
        <w:rPr>
          <w:rFonts w:hint="eastAsia"/>
          <w:lang w:val="en-US" w:eastAsia="zh-CN"/>
        </w:rPr>
        <w:t>图2</w:t>
      </w:r>
    </w:p>
    <w:p>
      <w:pPr>
        <w:numPr>
          <w:ilvl w:val="-1"/>
          <w:numId w:val="0"/>
        </w:numPr>
        <w:ind w:left="0" w:leftChars="0" w:firstLine="0" w:firstLineChars="0"/>
        <w:rPr>
          <w:rFonts w:hint="eastAsia"/>
          <w:lang w:val="en-US" w:eastAsia="zh-CN"/>
        </w:rPr>
      </w:pPr>
      <w:r>
        <w:rPr>
          <w:rFonts w:hint="eastAsia"/>
          <w:lang w:val="en-US" w:eastAsia="zh-CN"/>
        </w:rPr>
        <w:t>5、工业盐生产企业</w:t>
      </w:r>
    </w:p>
    <w:p>
      <w:pPr>
        <w:numPr>
          <w:ilvl w:val="0"/>
          <w:numId w:val="0"/>
        </w:numPr>
        <w:ind w:leftChars="0"/>
        <w:rPr>
          <w:rFonts w:hint="eastAsia"/>
          <w:lang w:val="en-US" w:eastAsia="zh-CN"/>
        </w:rPr>
      </w:pPr>
      <w:r>
        <w:rPr>
          <w:rFonts w:hint="eastAsia"/>
          <w:lang w:val="en-US" w:eastAsia="zh-CN"/>
        </w:rPr>
        <w:t>工业盐生产企业填报《盐行业企业基本情况表》、《制盐企业产品产销存定期报表》两个报表。</w:t>
      </w:r>
    </w:p>
    <w:p>
      <w:pPr>
        <w:numPr>
          <w:ilvl w:val="0"/>
          <w:numId w:val="0"/>
        </w:numPr>
        <w:ind w:leftChars="0"/>
        <w:rPr>
          <w:rFonts w:hint="eastAsia"/>
          <w:lang w:val="en-US" w:eastAsia="zh-CN"/>
        </w:rPr>
      </w:pPr>
      <w:r>
        <w:rPr>
          <w:rFonts w:hint="eastAsia"/>
          <w:lang w:val="en-US" w:eastAsia="zh-CN"/>
        </w:rPr>
        <w:drawing>
          <wp:inline distT="0" distB="0" distL="114300" distR="114300">
            <wp:extent cx="5266690" cy="2477135"/>
            <wp:effectExtent l="0" t="0" r="6350" b="698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11"/>
                    <a:stretch>
                      <a:fillRect/>
                    </a:stretch>
                  </pic:blipFill>
                  <pic:spPr>
                    <a:xfrm>
                      <a:off x="0" y="0"/>
                      <a:ext cx="5266690" cy="2477135"/>
                    </a:xfrm>
                    <a:prstGeom prst="rect">
                      <a:avLst/>
                    </a:prstGeom>
                    <a:noFill/>
                    <a:ln>
                      <a:noFill/>
                    </a:ln>
                  </pic:spPr>
                </pic:pic>
              </a:graphicData>
            </a:graphic>
          </wp:inline>
        </w:drawing>
      </w:r>
    </w:p>
    <w:p>
      <w:pPr>
        <w:numPr>
          <w:ilvl w:val="0"/>
          <w:numId w:val="0"/>
        </w:numPr>
        <w:ind w:leftChars="0"/>
        <w:jc w:val="center"/>
        <w:rPr>
          <w:rFonts w:hint="default"/>
          <w:lang w:val="en-US" w:eastAsia="zh-CN"/>
        </w:rPr>
      </w:pPr>
      <w:r>
        <w:rPr>
          <w:rFonts w:hint="eastAsia"/>
          <w:lang w:val="en-US" w:eastAsia="zh-CN"/>
        </w:rPr>
        <w:t>图1</w:t>
      </w:r>
    </w:p>
    <w:p>
      <w:pPr>
        <w:numPr>
          <w:ilvl w:val="0"/>
          <w:numId w:val="0"/>
        </w:numPr>
        <w:ind w:leftChars="0"/>
        <w:rPr>
          <w:rFonts w:hint="eastAsia"/>
          <w:lang w:val="en-US" w:eastAsia="zh-CN"/>
        </w:rPr>
      </w:pPr>
      <w:r>
        <w:rPr>
          <w:rFonts w:hint="eastAsia"/>
          <w:lang w:val="en-US" w:eastAsia="zh-CN"/>
        </w:rPr>
        <w:drawing>
          <wp:inline distT="0" distB="0" distL="114300" distR="114300">
            <wp:extent cx="5266690" cy="2477135"/>
            <wp:effectExtent l="0" t="0" r="6350" b="6985"/>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12"/>
                    <a:stretch>
                      <a:fillRect/>
                    </a:stretch>
                  </pic:blipFill>
                  <pic:spPr>
                    <a:xfrm>
                      <a:off x="0" y="0"/>
                      <a:ext cx="5266690" cy="2477135"/>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图2</w:t>
      </w:r>
    </w:p>
    <w:p>
      <w:pPr>
        <w:numPr>
          <w:ilvl w:val="0"/>
          <w:numId w:val="0"/>
        </w:numPr>
        <w:ind w:leftChars="0"/>
        <w:jc w:val="center"/>
        <w:rPr>
          <w:rFonts w:hint="eastAsia"/>
          <w:lang w:val="en-US" w:eastAsia="zh-CN"/>
        </w:rPr>
      </w:pPr>
    </w:p>
    <w:p>
      <w:pPr>
        <w:pStyle w:val="4"/>
        <w:bidi w:val="0"/>
        <w:rPr>
          <w:rFonts w:hint="eastAsia"/>
          <w:lang w:val="en-US" w:eastAsia="zh-CN"/>
        </w:rPr>
      </w:pPr>
      <w:r>
        <w:rPr>
          <w:rFonts w:hint="eastAsia"/>
          <w:lang w:val="en-US" w:eastAsia="zh-CN"/>
        </w:rPr>
        <w:t>《盐行业企业基本情况表》填报流程</w:t>
      </w:r>
    </w:p>
    <w:p>
      <w:pPr>
        <w:rPr>
          <w:rFonts w:hint="default"/>
          <w:lang w:val="en-US" w:eastAsia="zh-CN"/>
        </w:rPr>
      </w:pPr>
      <w:r>
        <w:rPr>
          <w:rFonts w:hint="eastAsia"/>
          <w:lang w:val="en-US" w:eastAsia="zh-CN"/>
        </w:rPr>
        <w:t>1、企业角色登录后，点击填报列表-填报列表概览，进入填报列表概览界面，点击《盐行业企业基本情况表》对应的“开始填报”按钮。</w:t>
      </w:r>
    </w:p>
    <w:p>
      <w:pPr>
        <w:rPr>
          <w:rFonts w:hint="default"/>
          <w:lang w:val="en-US" w:eastAsia="zh-CN"/>
        </w:rPr>
      </w:pPr>
      <w:r>
        <w:rPr>
          <w:rFonts w:hint="default"/>
          <w:lang w:val="en-US" w:eastAsia="zh-CN"/>
        </w:rPr>
        <w:drawing>
          <wp:inline distT="0" distB="0" distL="114300" distR="114300">
            <wp:extent cx="5266690" cy="2477135"/>
            <wp:effectExtent l="0" t="0" r="6350" b="6985"/>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13"/>
                    <a:stretch>
                      <a:fillRect/>
                    </a:stretch>
                  </pic:blipFill>
                  <pic:spPr>
                    <a:xfrm>
                      <a:off x="0" y="0"/>
                      <a:ext cx="5266690" cy="247713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图1</w:t>
      </w:r>
    </w:p>
    <w:p>
      <w:pPr>
        <w:jc w:val="both"/>
        <w:rPr>
          <w:rFonts w:hint="eastAsia"/>
          <w:lang w:val="en-US" w:eastAsia="zh-CN"/>
        </w:rPr>
      </w:pPr>
      <w:r>
        <w:rPr>
          <w:rFonts w:hint="eastAsia"/>
          <w:lang w:val="en-US" w:eastAsia="zh-CN"/>
        </w:rPr>
        <w:t>2、点击“开始填报”按钮后，即可打开对应的报表填写页面，所有必填项前均存在“*”标志。</w:t>
      </w:r>
    </w:p>
    <w:p>
      <w:pPr>
        <w:jc w:val="both"/>
        <w:rPr>
          <w:rFonts w:hint="eastAsia"/>
          <w:lang w:val="en-US" w:eastAsia="zh-CN"/>
        </w:rPr>
      </w:pPr>
    </w:p>
    <w:p>
      <w:pPr>
        <w:jc w:val="both"/>
        <w:rPr>
          <w:rFonts w:hint="default"/>
          <w:lang w:val="en-US" w:eastAsia="zh-CN"/>
        </w:rPr>
      </w:pPr>
      <w:r>
        <w:rPr>
          <w:rFonts w:hint="default"/>
          <w:lang w:val="en-US" w:eastAsia="zh-CN"/>
        </w:rPr>
        <w:drawing>
          <wp:inline distT="0" distB="0" distL="114300" distR="114300">
            <wp:extent cx="5266690" cy="2477135"/>
            <wp:effectExtent l="0" t="0" r="6350" b="698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14"/>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图2</w:t>
      </w:r>
    </w:p>
    <w:p>
      <w:pPr>
        <w:jc w:val="both"/>
        <w:rPr>
          <w:rFonts w:hint="default"/>
          <w:lang w:val="en-US" w:eastAsia="zh-CN"/>
        </w:rPr>
      </w:pPr>
      <w:r>
        <w:rPr>
          <w:rFonts w:hint="default"/>
          <w:lang w:val="en-US" w:eastAsia="zh-CN"/>
        </w:rPr>
        <w:drawing>
          <wp:inline distT="0" distB="0" distL="114300" distR="114300">
            <wp:extent cx="5266690" cy="2477135"/>
            <wp:effectExtent l="0" t="0" r="6350" b="6985"/>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pic:cNvPicPr>
                  </pic:nvPicPr>
                  <pic:blipFill>
                    <a:blip r:embed="rId15"/>
                    <a:stretch>
                      <a:fillRect/>
                    </a:stretch>
                  </pic:blipFill>
                  <pic:spPr>
                    <a:xfrm>
                      <a:off x="0" y="0"/>
                      <a:ext cx="5266690" cy="247713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图3</w:t>
      </w:r>
    </w:p>
    <w:p>
      <w:pPr>
        <w:jc w:val="both"/>
        <w:rPr>
          <w:rFonts w:hint="eastAsia"/>
          <w:lang w:val="en-US" w:eastAsia="zh-CN"/>
        </w:rPr>
      </w:pPr>
      <w:r>
        <w:rPr>
          <w:rFonts w:hint="eastAsia"/>
          <w:lang w:val="en-US" w:eastAsia="zh-CN"/>
        </w:rPr>
        <w:t>3、企业填报完成并确认无误后，可直接点击“提交”按钮，提交后报表状态变为待市局审核，市局角色可查看到报表内容。注：点击保存后数据还可以修改，点击提交后时企业无法对数据进行修改，如想修改可联系市局退回。</w:t>
      </w:r>
    </w:p>
    <w:p>
      <w:pPr>
        <w:jc w:val="both"/>
        <w:rPr>
          <w:rFonts w:hint="default"/>
          <w:lang w:val="en-US" w:eastAsia="zh-CN"/>
        </w:rPr>
      </w:pPr>
      <w:r>
        <w:rPr>
          <w:rFonts w:hint="default"/>
          <w:lang w:val="en-US" w:eastAsia="zh-CN"/>
        </w:rPr>
        <w:drawing>
          <wp:inline distT="0" distB="0" distL="114300" distR="114300">
            <wp:extent cx="5266690" cy="2477135"/>
            <wp:effectExtent l="0" t="0" r="6350" b="6985"/>
            <wp:docPr id="9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
                    <pic:cNvPicPr>
                      <a:picLocks noChangeAspect="1"/>
                    </pic:cNvPicPr>
                  </pic:nvPicPr>
                  <pic:blipFill>
                    <a:blip r:embed="rId16"/>
                    <a:stretch>
                      <a:fillRect/>
                    </a:stretch>
                  </pic:blipFill>
                  <pic:spPr>
                    <a:xfrm>
                      <a:off x="0" y="0"/>
                      <a:ext cx="5266690" cy="247713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w:t>
      </w:r>
    </w:p>
    <w:p>
      <w:pPr>
        <w:jc w:val="both"/>
        <w:rPr>
          <w:rFonts w:hint="eastAsia"/>
          <w:lang w:val="en-US" w:eastAsia="zh-CN"/>
        </w:rPr>
      </w:pPr>
      <w:r>
        <w:rPr>
          <w:rFonts w:hint="eastAsia"/>
          <w:lang w:val="en-US" w:eastAsia="zh-CN"/>
        </w:rPr>
        <w:t>4、当企业角色填写完成后暂时不想提交，可点击“保存”按钮，点击保存后报表状态变为待提交（见图5）。</w:t>
      </w:r>
    </w:p>
    <w:p>
      <w:pPr>
        <w:jc w:val="both"/>
        <w:rPr>
          <w:rFonts w:hint="eastAsia"/>
          <w:lang w:val="en-US" w:eastAsia="zh-CN"/>
        </w:rPr>
      </w:pPr>
      <w:r>
        <w:rPr>
          <w:rFonts w:hint="eastAsia"/>
          <w:lang w:val="en-US" w:eastAsia="zh-CN"/>
        </w:rPr>
        <w:t>注：当企业角色要对该部分数据进行修改时，选择【我的填报】-【填报查询】，编辑需要修改的填报期别，即可查看到之前保存的表单内容（见图6），企业角色可根据自己的需要进行修改或提交操作。</w:t>
      </w:r>
    </w:p>
    <w:p>
      <w:pPr>
        <w:jc w:val="both"/>
        <w:rPr>
          <w:rFonts w:hint="default"/>
          <w:lang w:val="en-US" w:eastAsia="zh-CN"/>
        </w:rPr>
      </w:pPr>
      <w:r>
        <w:rPr>
          <w:rFonts w:hint="default"/>
          <w:lang w:val="en-US" w:eastAsia="zh-CN"/>
        </w:rPr>
        <w:drawing>
          <wp:inline distT="0" distB="0" distL="114300" distR="114300">
            <wp:extent cx="5266690" cy="2477135"/>
            <wp:effectExtent l="0" t="0" r="6350" b="6985"/>
            <wp:docPr id="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1"/>
                    <pic:cNvPicPr>
                      <a:picLocks noChangeAspect="1"/>
                    </pic:cNvPicPr>
                  </pic:nvPicPr>
                  <pic:blipFill>
                    <a:blip r:embed="rId17"/>
                    <a:stretch>
                      <a:fillRect/>
                    </a:stretch>
                  </pic:blipFill>
                  <pic:spPr>
                    <a:xfrm>
                      <a:off x="0" y="0"/>
                      <a:ext cx="5266690" cy="247713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图5</w:t>
      </w:r>
    </w:p>
    <w:p>
      <w:pPr>
        <w:jc w:val="both"/>
        <w:rPr>
          <w:rFonts w:hint="default"/>
          <w:lang w:val="en-US" w:eastAsia="zh-CN"/>
        </w:rPr>
      </w:pPr>
      <w:r>
        <w:rPr>
          <w:rFonts w:hint="default"/>
          <w:lang w:val="en-US" w:eastAsia="zh-CN"/>
        </w:rPr>
        <w:drawing>
          <wp:inline distT="0" distB="0" distL="114300" distR="114300">
            <wp:extent cx="5266690" cy="2477135"/>
            <wp:effectExtent l="0" t="0" r="6350" b="6985"/>
            <wp:docPr id="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2"/>
                    <pic:cNvPicPr>
                      <a:picLocks noChangeAspect="1"/>
                    </pic:cNvPicPr>
                  </pic:nvPicPr>
                  <pic:blipFill>
                    <a:blip r:embed="rId18"/>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图6</w:t>
      </w:r>
    </w:p>
    <w:p>
      <w:pPr>
        <w:pStyle w:val="4"/>
        <w:bidi w:val="0"/>
        <w:rPr>
          <w:rFonts w:hint="eastAsia"/>
          <w:lang w:val="en-US" w:eastAsia="zh-CN"/>
        </w:rPr>
      </w:pPr>
      <w:r>
        <w:rPr>
          <w:rFonts w:hint="eastAsia"/>
          <w:lang w:val="en-US" w:eastAsia="zh-CN"/>
        </w:rPr>
        <w:t>《制盐企业产品产销存定期报表》填报流程</w:t>
      </w:r>
    </w:p>
    <w:p>
      <w:pPr>
        <w:rPr>
          <w:rFonts w:hint="eastAsia"/>
          <w:lang w:val="en-US" w:eastAsia="zh-CN"/>
        </w:rPr>
      </w:pPr>
      <w:r>
        <w:rPr>
          <w:rFonts w:hint="eastAsia"/>
          <w:lang w:val="en-US" w:eastAsia="zh-CN"/>
        </w:rPr>
        <w:t>1、企业角色登录后，点击填报列表-填报列表概览，进入填报列表概览界面，点击《制盐企业产品产销存定期报表》对应的“开始填报”按钮。</w:t>
      </w:r>
    </w:p>
    <w:p>
      <w:pPr>
        <w:rPr>
          <w:rFonts w:hint="default"/>
          <w:lang w:val="en-US" w:eastAsia="zh-CN"/>
        </w:rPr>
      </w:pPr>
      <w:r>
        <w:rPr>
          <w:rFonts w:hint="default"/>
          <w:lang w:val="en-US" w:eastAsia="zh-CN"/>
        </w:rPr>
        <w:drawing>
          <wp:inline distT="0" distB="0" distL="114300" distR="114300">
            <wp:extent cx="5266690" cy="2477135"/>
            <wp:effectExtent l="0" t="0" r="6350" b="6985"/>
            <wp:docPr id="9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3"/>
                    <pic:cNvPicPr>
                      <a:picLocks noChangeAspect="1"/>
                    </pic:cNvPicPr>
                  </pic:nvPicPr>
                  <pic:blipFill>
                    <a:blip r:embed="rId19"/>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图1</w:t>
      </w:r>
    </w:p>
    <w:p>
      <w:pPr>
        <w:rPr>
          <w:rFonts w:hint="eastAsia"/>
          <w:lang w:val="en-US" w:eastAsia="zh-CN"/>
        </w:rPr>
      </w:pPr>
      <w:r>
        <w:rPr>
          <w:rFonts w:hint="eastAsia"/>
          <w:lang w:val="en-US" w:eastAsia="zh-CN"/>
        </w:rPr>
        <w:t>2、点击“开始填报”按钮后，即可打开对应的报表填写页面，企业用户在填写报表时，首先选择填报时间</w:t>
      </w:r>
      <w:r>
        <w:rPr>
          <w:rFonts w:hint="default"/>
          <w:lang w:val="en-US" w:eastAsia="zh-CN"/>
        </w:rPr>
        <w:t>（说明：购销存和产销存填报开始时间顺序为2019年</w:t>
      </w:r>
      <w:r>
        <w:rPr>
          <w:rFonts w:hint="eastAsia"/>
          <w:lang w:val="en-US" w:eastAsia="zh-CN"/>
        </w:rPr>
        <w:t>和2020年</w:t>
      </w:r>
      <w:r>
        <w:rPr>
          <w:rFonts w:hint="default"/>
          <w:lang w:val="en-US" w:eastAsia="zh-CN"/>
        </w:rPr>
        <w:t>12月</w:t>
      </w:r>
      <w:r>
        <w:rPr>
          <w:rFonts w:hint="eastAsia"/>
          <w:lang w:val="en-US" w:eastAsia="zh-CN"/>
        </w:rPr>
        <w:t>（也即是年度数据）。</w:t>
      </w:r>
      <w:r>
        <w:rPr>
          <w:rFonts w:hint="default"/>
          <w:lang w:val="en-US" w:eastAsia="zh-CN"/>
        </w:rPr>
        <w:t>然后202</w:t>
      </w:r>
      <w:r>
        <w:rPr>
          <w:rFonts w:hint="eastAsia"/>
          <w:lang w:val="en-US" w:eastAsia="zh-CN"/>
        </w:rPr>
        <w:t>1</w:t>
      </w:r>
      <w:r>
        <w:rPr>
          <w:rFonts w:hint="default"/>
          <w:lang w:val="en-US" w:eastAsia="zh-CN"/>
        </w:rPr>
        <w:t>年</w:t>
      </w:r>
      <w:r>
        <w:rPr>
          <w:rFonts w:hint="eastAsia"/>
          <w:lang w:val="en-US" w:eastAsia="zh-CN"/>
        </w:rPr>
        <w:t>从1月开始填报</w:t>
      </w:r>
      <w:r>
        <w:rPr>
          <w:rFonts w:hint="default"/>
          <w:lang w:val="en-US" w:eastAsia="zh-CN"/>
        </w:rPr>
        <w:t>，为保证获取准确上月数据自动填充到下月，需要</w:t>
      </w:r>
      <w:r>
        <w:rPr>
          <w:rFonts w:hint="eastAsia"/>
          <w:lang w:val="en-US" w:eastAsia="zh-CN"/>
        </w:rPr>
        <w:t>提交</w:t>
      </w:r>
      <w:r>
        <w:rPr>
          <w:rFonts w:hint="default"/>
          <w:lang w:val="en-US" w:eastAsia="zh-CN"/>
        </w:rPr>
        <w:t>上一个月的填报，才能填报下一个月</w:t>
      </w:r>
      <w:r>
        <w:rPr>
          <w:rFonts w:hint="eastAsia"/>
          <w:lang w:val="en-US" w:eastAsia="zh-CN"/>
        </w:rPr>
        <w:t>数据</w:t>
      </w:r>
      <w:r>
        <w:rPr>
          <w:rFonts w:hint="default"/>
          <w:lang w:val="en-US" w:eastAsia="zh-CN"/>
        </w:rPr>
        <w:t>）</w:t>
      </w:r>
      <w:r>
        <w:rPr>
          <w:rFonts w:hint="eastAsia"/>
          <w:i w:val="0"/>
          <w:iCs w:val="0"/>
          <w:color w:val="000000" w:themeColor="text1"/>
          <w:lang w:val="en-US" w:eastAsia="zh-CN"/>
          <w14:textFill>
            <w14:solidFill>
              <w14:schemeClr w14:val="tx1"/>
            </w14:solidFill>
          </w14:textFill>
        </w:rPr>
        <w:t>。</w:t>
      </w:r>
    </w:p>
    <w:p>
      <w:pPr>
        <w:rPr>
          <w:rFonts w:hint="eastAsia"/>
          <w:lang w:val="en-US" w:eastAsia="zh-CN"/>
        </w:rPr>
      </w:pPr>
      <w:r>
        <w:rPr>
          <w:rFonts w:hint="eastAsia"/>
          <w:lang w:val="en-US" w:eastAsia="zh-CN"/>
        </w:rPr>
        <w:t>注意：①必填项填写，所有必填项前均存在“*”标志。</w:t>
      </w:r>
    </w:p>
    <w:p>
      <w:pPr>
        <w:ind w:firstLine="720" w:firstLineChars="300"/>
        <w:rPr>
          <w:rFonts w:hint="eastAsia"/>
          <w:lang w:val="en-US" w:eastAsia="zh-CN"/>
        </w:rPr>
      </w:pPr>
      <w:r>
        <w:rPr>
          <w:rFonts w:hint="eastAsia"/>
          <w:lang w:val="en-US" w:eastAsia="zh-CN"/>
        </w:rPr>
        <w:t>②填写《制盐企业产品产销存定期报表》时注意选择左侧红框中的产品类型！</w:t>
      </w:r>
    </w:p>
    <w:p>
      <w:pPr>
        <w:rPr>
          <w:rFonts w:hint="default"/>
          <w:lang w:val="en-US" w:eastAsia="zh-CN"/>
        </w:rPr>
      </w:pPr>
      <w:r>
        <w:rPr>
          <w:rFonts w:hint="default"/>
          <w:lang w:val="en-US" w:eastAsia="zh-CN"/>
        </w:rPr>
        <w:drawing>
          <wp:inline distT="0" distB="0" distL="114300" distR="114300">
            <wp:extent cx="5266690" cy="2477135"/>
            <wp:effectExtent l="0" t="0" r="6350" b="6985"/>
            <wp:docPr id="9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4"/>
                    <pic:cNvPicPr>
                      <a:picLocks noChangeAspect="1"/>
                    </pic:cNvPicPr>
                  </pic:nvPicPr>
                  <pic:blipFill>
                    <a:blip r:embed="rId20"/>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图2</w:t>
      </w:r>
    </w:p>
    <w:p>
      <w:pPr>
        <w:rPr>
          <w:rFonts w:hint="default"/>
          <w:lang w:val="en-US" w:eastAsia="zh-CN"/>
        </w:rPr>
      </w:pPr>
      <w:r>
        <w:rPr>
          <w:rFonts w:hint="default"/>
          <w:lang w:val="en-US" w:eastAsia="zh-CN"/>
        </w:rPr>
        <w:drawing>
          <wp:inline distT="0" distB="0" distL="114300" distR="114300">
            <wp:extent cx="5266690" cy="2477135"/>
            <wp:effectExtent l="0" t="0" r="6350" b="6985"/>
            <wp:docPr id="9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5"/>
                    <pic:cNvPicPr>
                      <a:picLocks noChangeAspect="1"/>
                    </pic:cNvPicPr>
                  </pic:nvPicPr>
                  <pic:blipFill>
                    <a:blip r:embed="rId21"/>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图3</w:t>
      </w:r>
    </w:p>
    <w:p>
      <w:pPr>
        <w:rPr>
          <w:rFonts w:hint="default"/>
          <w:lang w:val="en-US" w:eastAsia="zh-CN"/>
        </w:rPr>
      </w:pPr>
      <w:r>
        <w:rPr>
          <w:rFonts w:hint="eastAsia"/>
          <w:lang w:val="en-US" w:eastAsia="zh-CN"/>
        </w:rPr>
        <w:t>3、企业角色填写完报表内容后，可直接点击“提交”按钮，提交后报表状态变为待市局审核，市局角色可查看到报表内容。注：点击保存后数据还可以修改，点击提交后时企业无法对数据进行修改，如想修改可联系市局退回。</w:t>
      </w:r>
      <w:r>
        <w:rPr>
          <w:rFonts w:hint="default"/>
          <w:lang w:val="en-US" w:eastAsia="zh-CN"/>
        </w:rPr>
        <w:drawing>
          <wp:inline distT="0" distB="0" distL="114300" distR="114300">
            <wp:extent cx="5266690" cy="2477135"/>
            <wp:effectExtent l="0" t="0" r="6350" b="6985"/>
            <wp:docPr id="9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6"/>
                    <pic:cNvPicPr>
                      <a:picLocks noChangeAspect="1"/>
                    </pic:cNvPicPr>
                  </pic:nvPicPr>
                  <pic:blipFill>
                    <a:blip r:embed="rId22"/>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图4</w:t>
      </w:r>
    </w:p>
    <w:p>
      <w:pPr>
        <w:rPr>
          <w:rFonts w:hint="default"/>
          <w:lang w:val="en-US" w:eastAsia="zh-CN"/>
        </w:rPr>
      </w:pPr>
      <w:r>
        <w:rPr>
          <w:rFonts w:hint="eastAsia"/>
          <w:lang w:val="en-US" w:eastAsia="zh-CN"/>
        </w:rPr>
        <w:t>4、</w:t>
      </w:r>
      <w:r>
        <w:rPr>
          <w:rFonts w:hint="default"/>
          <w:lang w:val="en-US" w:eastAsia="zh-CN"/>
        </w:rPr>
        <w:t>当企业角色填写完成后暂时不想提交，可点击“保存”按钮，点击保存后报表状态变为待提交（见图</w:t>
      </w:r>
      <w:r>
        <w:rPr>
          <w:rFonts w:hint="eastAsia"/>
          <w:lang w:val="en-US" w:eastAsia="zh-CN"/>
        </w:rPr>
        <w:t>5</w:t>
      </w:r>
      <w:r>
        <w:rPr>
          <w:rFonts w:hint="default"/>
          <w:lang w:val="en-US" w:eastAsia="zh-CN"/>
        </w:rPr>
        <w:t>）。</w:t>
      </w:r>
    </w:p>
    <w:p>
      <w:pPr>
        <w:rPr>
          <w:rFonts w:hint="eastAsia"/>
          <w:color w:val="auto"/>
          <w:lang w:val="en-US" w:eastAsia="zh-CN"/>
        </w:rPr>
      </w:pPr>
      <w:r>
        <w:rPr>
          <w:rFonts w:hint="eastAsia"/>
          <w:lang w:val="en-US" w:eastAsia="zh-CN"/>
        </w:rPr>
        <w:t>注意：①</w:t>
      </w:r>
      <w:r>
        <w:rPr>
          <w:rFonts w:hint="default"/>
          <w:color w:val="auto"/>
          <w:lang w:val="en-US" w:eastAsia="zh-CN"/>
        </w:rPr>
        <w:t>当企业角色要对该部分数据进行修改时，选择【我的填报】-【填报查询】，编辑需要修改的填报期别，即可查看到之前保存的表单内容（见图</w:t>
      </w:r>
      <w:r>
        <w:rPr>
          <w:rFonts w:hint="eastAsia"/>
          <w:color w:val="auto"/>
          <w:lang w:val="en-US" w:eastAsia="zh-CN"/>
        </w:rPr>
        <w:t>6</w:t>
      </w:r>
      <w:r>
        <w:rPr>
          <w:rFonts w:hint="default"/>
          <w:color w:val="auto"/>
          <w:lang w:val="en-US" w:eastAsia="zh-CN"/>
        </w:rPr>
        <w:t>），企业角色可根据自己的需要进行修改或提交操作</w:t>
      </w:r>
      <w:r>
        <w:rPr>
          <w:rFonts w:hint="eastAsia"/>
          <w:color w:val="auto"/>
          <w:lang w:val="en-US" w:eastAsia="zh-CN"/>
        </w:rPr>
        <w:t>.</w:t>
      </w:r>
    </w:p>
    <w:p>
      <w:pPr>
        <w:ind w:firstLine="720" w:firstLineChars="300"/>
        <w:rPr>
          <w:rFonts w:hint="default"/>
          <w:color w:val="FF0000"/>
          <w:lang w:val="en-US" w:eastAsia="zh-CN"/>
        </w:rPr>
      </w:pPr>
      <w:r>
        <w:rPr>
          <w:rFonts w:hint="eastAsia"/>
          <w:color w:val="auto"/>
          <w:lang w:val="en-US" w:eastAsia="zh-CN"/>
        </w:rPr>
        <w:t>②</w:t>
      </w:r>
      <w:r>
        <w:rPr>
          <w:rFonts w:hint="default"/>
          <w:color w:val="auto"/>
          <w:lang w:val="en-US" w:eastAsia="zh-CN"/>
        </w:rPr>
        <w:t>如果上月填报还未提交，点击【开始填报】会出现上月的填报记录，可以修改后提交或保存。</w:t>
      </w:r>
    </w:p>
    <w:p>
      <w:pPr>
        <w:rPr>
          <w:rFonts w:hint="default"/>
          <w:lang w:val="en-US" w:eastAsia="zh-CN"/>
        </w:rPr>
      </w:pPr>
      <w:r>
        <w:rPr>
          <w:rFonts w:hint="default"/>
          <w:lang w:val="en-US" w:eastAsia="zh-CN"/>
        </w:rPr>
        <w:drawing>
          <wp:inline distT="0" distB="0" distL="114300" distR="114300">
            <wp:extent cx="5266690" cy="2477135"/>
            <wp:effectExtent l="0" t="0" r="6350" b="6985"/>
            <wp:docPr id="9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7"/>
                    <pic:cNvPicPr>
                      <a:picLocks noChangeAspect="1"/>
                    </pic:cNvPicPr>
                  </pic:nvPicPr>
                  <pic:blipFill>
                    <a:blip r:embed="rId23"/>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图5</w:t>
      </w:r>
    </w:p>
    <w:p>
      <w:pPr>
        <w:rPr>
          <w:rFonts w:hint="default"/>
          <w:lang w:val="en-US" w:eastAsia="zh-CN"/>
        </w:rPr>
      </w:pPr>
      <w:r>
        <w:rPr>
          <w:rFonts w:hint="default"/>
          <w:lang w:val="en-US" w:eastAsia="zh-CN"/>
        </w:rPr>
        <w:drawing>
          <wp:inline distT="0" distB="0" distL="114300" distR="114300">
            <wp:extent cx="5266690" cy="2477135"/>
            <wp:effectExtent l="0" t="0" r="6350" b="6985"/>
            <wp:docPr id="9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8"/>
                    <pic:cNvPicPr>
                      <a:picLocks noChangeAspect="1"/>
                    </pic:cNvPicPr>
                  </pic:nvPicPr>
                  <pic:blipFill>
                    <a:blip r:embed="rId24"/>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图6</w:t>
      </w:r>
    </w:p>
    <w:p>
      <w:pPr>
        <w:pStyle w:val="4"/>
        <w:bidi w:val="0"/>
        <w:rPr>
          <w:rFonts w:hint="eastAsia"/>
          <w:lang w:val="en-US" w:eastAsia="zh-CN"/>
        </w:rPr>
      </w:pPr>
      <w:r>
        <w:rPr>
          <w:rFonts w:hint="eastAsia"/>
          <w:lang w:val="en-US" w:eastAsia="zh-CN"/>
        </w:rPr>
        <w:t>《盐业批发企业购销存定期报表》填报流程</w:t>
      </w:r>
    </w:p>
    <w:p>
      <w:pPr>
        <w:numPr>
          <w:ilvl w:val="0"/>
          <w:numId w:val="0"/>
        </w:numPr>
        <w:ind w:leftChars="0"/>
        <w:rPr>
          <w:rFonts w:hint="default"/>
          <w:lang w:val="en-US" w:eastAsia="zh-CN"/>
        </w:rPr>
      </w:pPr>
      <w:r>
        <w:rPr>
          <w:rFonts w:hint="eastAsia"/>
          <w:lang w:val="en-US" w:eastAsia="zh-CN"/>
        </w:rPr>
        <w:t>1、</w:t>
      </w:r>
      <w:r>
        <w:rPr>
          <w:rFonts w:hint="default"/>
          <w:lang w:val="en-US" w:eastAsia="zh-CN"/>
        </w:rPr>
        <w:t>企业角色登录后，点击填报列表-填报列表概览，进入填报列表概览界面，点击《盐业批发企业购销存定期报表》对应的“开始填报”按钮。</w:t>
      </w:r>
    </w:p>
    <w:p>
      <w:pPr>
        <w:numPr>
          <w:ilvl w:val="0"/>
          <w:numId w:val="0"/>
        </w:numPr>
        <w:ind w:leftChars="0"/>
        <w:rPr>
          <w:rFonts w:hint="default"/>
          <w:lang w:val="en-US" w:eastAsia="zh-CN"/>
        </w:rPr>
      </w:pPr>
    </w:p>
    <w:p>
      <w:pPr>
        <w:numPr>
          <w:ilvl w:val="0"/>
          <w:numId w:val="0"/>
        </w:numPr>
        <w:ind w:leftChars="0"/>
        <w:rPr>
          <w:rFonts w:hint="default"/>
          <w:lang w:val="en-US" w:eastAsia="zh-CN"/>
        </w:rPr>
      </w:pPr>
      <w:r>
        <w:rPr>
          <w:rFonts w:hint="default"/>
          <w:lang w:val="en-US" w:eastAsia="zh-CN"/>
        </w:rPr>
        <w:drawing>
          <wp:inline distT="0" distB="0" distL="114300" distR="114300">
            <wp:extent cx="5266690" cy="2477135"/>
            <wp:effectExtent l="0" t="0" r="6350" b="6985"/>
            <wp:docPr id="9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9"/>
                    <pic:cNvPicPr>
                      <a:picLocks noChangeAspect="1"/>
                    </pic:cNvPicPr>
                  </pic:nvPicPr>
                  <pic:blipFill>
                    <a:blip r:embed="rId25"/>
                    <a:stretch>
                      <a:fillRect/>
                    </a:stretch>
                  </pic:blipFill>
                  <pic:spPr>
                    <a:xfrm>
                      <a:off x="0" y="0"/>
                      <a:ext cx="5266690" cy="2477135"/>
                    </a:xfrm>
                    <a:prstGeom prst="rect">
                      <a:avLst/>
                    </a:prstGeom>
                    <a:noFill/>
                    <a:ln>
                      <a:noFill/>
                    </a:ln>
                  </pic:spPr>
                </pic:pic>
              </a:graphicData>
            </a:graphic>
          </wp:inline>
        </w:drawing>
      </w:r>
    </w:p>
    <w:p>
      <w:pPr>
        <w:numPr>
          <w:ilvl w:val="0"/>
          <w:numId w:val="0"/>
        </w:numPr>
        <w:ind w:leftChars="0"/>
        <w:jc w:val="center"/>
        <w:rPr>
          <w:rFonts w:hint="default"/>
          <w:lang w:val="en-US" w:eastAsia="zh-CN"/>
        </w:rPr>
      </w:pPr>
      <w:r>
        <w:rPr>
          <w:rFonts w:hint="eastAsia"/>
          <w:lang w:val="en-US" w:eastAsia="zh-CN"/>
        </w:rPr>
        <w:t>图1</w:t>
      </w:r>
    </w:p>
    <w:p>
      <w:pPr>
        <w:numPr>
          <w:ilvl w:val="0"/>
          <w:numId w:val="0"/>
        </w:numPr>
        <w:ind w:leftChars="0"/>
        <w:rPr>
          <w:rFonts w:hint="eastAsia"/>
          <w:lang w:val="en-US" w:eastAsia="zh-CN"/>
        </w:rPr>
      </w:pPr>
      <w:r>
        <w:rPr>
          <w:rFonts w:hint="eastAsia"/>
          <w:lang w:val="en-US" w:eastAsia="zh-CN"/>
        </w:rPr>
        <w:t>2、</w:t>
      </w:r>
      <w:r>
        <w:rPr>
          <w:rFonts w:hint="default"/>
          <w:lang w:val="en-US" w:eastAsia="zh-CN"/>
        </w:rPr>
        <w:t>点击“开始填报”按钮后，即可打开对应的报表填写页面，企业用户在填写报表时，首先选择填报时间（说明：购销存和产销存填报开始时间顺序为2019年</w:t>
      </w:r>
      <w:r>
        <w:rPr>
          <w:rFonts w:hint="eastAsia"/>
          <w:lang w:val="en-US" w:eastAsia="zh-CN"/>
        </w:rPr>
        <w:t>和2020年</w:t>
      </w:r>
      <w:r>
        <w:rPr>
          <w:rFonts w:hint="default"/>
          <w:lang w:val="en-US" w:eastAsia="zh-CN"/>
        </w:rPr>
        <w:t>12月</w:t>
      </w:r>
      <w:r>
        <w:rPr>
          <w:rFonts w:hint="eastAsia"/>
          <w:lang w:val="en-US" w:eastAsia="zh-CN"/>
        </w:rPr>
        <w:t>（也即是年度数据）。</w:t>
      </w:r>
      <w:r>
        <w:rPr>
          <w:rFonts w:hint="default"/>
          <w:lang w:val="en-US" w:eastAsia="zh-CN"/>
        </w:rPr>
        <w:t>然后202</w:t>
      </w:r>
      <w:r>
        <w:rPr>
          <w:rFonts w:hint="eastAsia"/>
          <w:lang w:val="en-US" w:eastAsia="zh-CN"/>
        </w:rPr>
        <w:t>1</w:t>
      </w:r>
      <w:r>
        <w:rPr>
          <w:rFonts w:hint="default"/>
          <w:lang w:val="en-US" w:eastAsia="zh-CN"/>
        </w:rPr>
        <w:t>年</w:t>
      </w:r>
      <w:r>
        <w:rPr>
          <w:rFonts w:hint="eastAsia"/>
          <w:lang w:val="en-US" w:eastAsia="zh-CN"/>
        </w:rPr>
        <w:t>从1月开始填报</w:t>
      </w:r>
      <w:r>
        <w:rPr>
          <w:rFonts w:hint="default"/>
          <w:lang w:val="en-US" w:eastAsia="zh-CN"/>
        </w:rPr>
        <w:t>，为保证获取准确上月数据自动填充到下月，需要</w:t>
      </w:r>
      <w:r>
        <w:rPr>
          <w:rFonts w:hint="eastAsia"/>
          <w:lang w:val="en-US" w:eastAsia="zh-CN"/>
        </w:rPr>
        <w:t>提交</w:t>
      </w:r>
      <w:r>
        <w:rPr>
          <w:rFonts w:hint="default"/>
          <w:lang w:val="en-US" w:eastAsia="zh-CN"/>
        </w:rPr>
        <w:t>上一个月的填报，才能填报下一个月</w:t>
      </w:r>
      <w:r>
        <w:rPr>
          <w:rFonts w:hint="eastAsia"/>
          <w:lang w:val="en-US" w:eastAsia="zh-CN"/>
        </w:rPr>
        <w:t>数据</w:t>
      </w:r>
      <w:r>
        <w:rPr>
          <w:rFonts w:hint="default"/>
          <w:lang w:val="en-US" w:eastAsia="zh-CN"/>
        </w:rPr>
        <w:t>）</w:t>
      </w:r>
      <w:r>
        <w:rPr>
          <w:rFonts w:hint="eastAsia"/>
          <w:lang w:val="en-US" w:eastAsia="zh-CN"/>
        </w:rPr>
        <w:t>。</w:t>
      </w:r>
    </w:p>
    <w:p>
      <w:pPr>
        <w:numPr>
          <w:ilvl w:val="0"/>
          <w:numId w:val="0"/>
        </w:numPr>
        <w:ind w:leftChars="0"/>
        <w:rPr>
          <w:rFonts w:hint="default"/>
          <w:lang w:val="en-US" w:eastAsia="zh-CN"/>
        </w:rPr>
      </w:pPr>
      <w:r>
        <w:rPr>
          <w:rFonts w:hint="default"/>
          <w:lang w:val="en-US" w:eastAsia="zh-CN"/>
        </w:rPr>
        <w:t>注意</w:t>
      </w:r>
      <w:r>
        <w:rPr>
          <w:rFonts w:hint="eastAsia"/>
          <w:lang w:val="en-US" w:eastAsia="zh-CN"/>
        </w:rPr>
        <w:t>：①</w:t>
      </w:r>
      <w:r>
        <w:rPr>
          <w:rFonts w:hint="default"/>
          <w:lang w:val="en-US" w:eastAsia="zh-CN"/>
        </w:rPr>
        <w:t>必填项填写，所有必填项前均存在“*”标志。</w:t>
      </w:r>
    </w:p>
    <w:p>
      <w:pPr>
        <w:numPr>
          <w:ilvl w:val="0"/>
          <w:numId w:val="0"/>
        </w:numPr>
        <w:ind w:leftChars="0" w:firstLine="720" w:firstLineChars="300"/>
        <w:rPr>
          <w:rFonts w:hint="default"/>
          <w:lang w:val="en-US" w:eastAsia="zh-CN"/>
        </w:rPr>
      </w:pPr>
      <w:r>
        <w:rPr>
          <w:rFonts w:hint="eastAsia"/>
          <w:lang w:val="en-US" w:eastAsia="zh-CN"/>
        </w:rPr>
        <w:t>②</w:t>
      </w:r>
      <w:r>
        <w:rPr>
          <w:rFonts w:hint="default"/>
          <w:lang w:val="en-US" w:eastAsia="zh-CN"/>
        </w:rPr>
        <w:t>填写《盐业批发企业购销存定期报表》时注意选择左侧红框中的产品类型！</w:t>
      </w:r>
    </w:p>
    <w:p>
      <w:pPr>
        <w:numPr>
          <w:ilvl w:val="0"/>
          <w:numId w:val="0"/>
        </w:numPr>
        <w:ind w:leftChars="0"/>
        <w:rPr>
          <w:rFonts w:hint="default"/>
          <w:lang w:val="en-US" w:eastAsia="zh-CN"/>
        </w:rPr>
      </w:pPr>
      <w:r>
        <w:rPr>
          <w:rFonts w:hint="default"/>
          <w:lang w:val="en-US" w:eastAsia="zh-CN"/>
        </w:rPr>
        <w:drawing>
          <wp:inline distT="0" distB="0" distL="114300" distR="114300">
            <wp:extent cx="5266690" cy="2477135"/>
            <wp:effectExtent l="0" t="0" r="6350" b="6985"/>
            <wp:docPr id="10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0"/>
                    <pic:cNvPicPr>
                      <a:picLocks noChangeAspect="1"/>
                    </pic:cNvPicPr>
                  </pic:nvPicPr>
                  <pic:blipFill>
                    <a:blip r:embed="rId26"/>
                    <a:stretch>
                      <a:fillRect/>
                    </a:stretch>
                  </pic:blipFill>
                  <pic:spPr>
                    <a:xfrm>
                      <a:off x="0" y="0"/>
                      <a:ext cx="5266690" cy="2477135"/>
                    </a:xfrm>
                    <a:prstGeom prst="rect">
                      <a:avLst/>
                    </a:prstGeom>
                    <a:noFill/>
                    <a:ln>
                      <a:noFill/>
                    </a:ln>
                  </pic:spPr>
                </pic:pic>
              </a:graphicData>
            </a:graphic>
          </wp:inline>
        </w:drawing>
      </w:r>
    </w:p>
    <w:p>
      <w:pPr>
        <w:numPr>
          <w:ilvl w:val="0"/>
          <w:numId w:val="0"/>
        </w:numPr>
        <w:ind w:leftChars="0"/>
        <w:jc w:val="center"/>
        <w:rPr>
          <w:rFonts w:hint="default"/>
          <w:lang w:val="en-US" w:eastAsia="zh-CN"/>
        </w:rPr>
      </w:pPr>
      <w:r>
        <w:rPr>
          <w:rFonts w:hint="eastAsia"/>
          <w:lang w:val="en-US" w:eastAsia="zh-CN"/>
        </w:rPr>
        <w:t>图2</w:t>
      </w:r>
    </w:p>
    <w:p>
      <w:pPr>
        <w:numPr>
          <w:ilvl w:val="0"/>
          <w:numId w:val="0"/>
        </w:numPr>
        <w:ind w:leftChars="0"/>
        <w:jc w:val="both"/>
        <w:rPr>
          <w:rFonts w:hint="default"/>
          <w:lang w:val="en-US" w:eastAsia="zh-CN"/>
        </w:rPr>
      </w:pPr>
      <w:r>
        <w:rPr>
          <w:rFonts w:hint="eastAsia"/>
          <w:lang w:val="en-US" w:eastAsia="zh-CN"/>
        </w:rPr>
        <w:t>3、</w:t>
      </w:r>
      <w:r>
        <w:rPr>
          <w:rFonts w:hint="default"/>
          <w:lang w:val="en-US" w:eastAsia="zh-CN"/>
        </w:rPr>
        <w:t>企业角色填写完报表内容后，可直接点击“提交”按钮，提交后报表状态变为待市局审核，市局角色可查看到报表内容。</w:t>
      </w:r>
      <w:r>
        <w:rPr>
          <w:rFonts w:hint="eastAsia"/>
          <w:lang w:val="en-US" w:eastAsia="zh-CN"/>
        </w:rPr>
        <w:t>注：点击保存后数据还可以修改，点击提交后时企业无法对数据进行修改，如想修改可联系市局退回。</w:t>
      </w:r>
    </w:p>
    <w:p>
      <w:pPr>
        <w:numPr>
          <w:ilvl w:val="0"/>
          <w:numId w:val="0"/>
        </w:numPr>
        <w:ind w:leftChars="0"/>
        <w:jc w:val="both"/>
        <w:rPr>
          <w:rFonts w:hint="default"/>
          <w:lang w:val="en-US" w:eastAsia="zh-CN"/>
        </w:rPr>
      </w:pPr>
      <w:r>
        <w:rPr>
          <w:rFonts w:hint="default"/>
          <w:lang w:val="en-US" w:eastAsia="zh-CN"/>
        </w:rPr>
        <w:drawing>
          <wp:inline distT="0" distB="0" distL="114300" distR="114300">
            <wp:extent cx="5266690" cy="2477135"/>
            <wp:effectExtent l="0" t="0" r="6350" b="6985"/>
            <wp:docPr id="1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1"/>
                    <pic:cNvPicPr>
                      <a:picLocks noChangeAspect="1"/>
                    </pic:cNvPicPr>
                  </pic:nvPicPr>
                  <pic:blipFill>
                    <a:blip r:embed="rId27"/>
                    <a:stretch>
                      <a:fillRect/>
                    </a:stretch>
                  </pic:blipFill>
                  <pic:spPr>
                    <a:xfrm>
                      <a:off x="0" y="0"/>
                      <a:ext cx="5266690" cy="2477135"/>
                    </a:xfrm>
                    <a:prstGeom prst="rect">
                      <a:avLst/>
                    </a:prstGeom>
                    <a:noFill/>
                    <a:ln>
                      <a:noFill/>
                    </a:ln>
                  </pic:spPr>
                </pic:pic>
              </a:graphicData>
            </a:graphic>
          </wp:inline>
        </w:drawing>
      </w:r>
    </w:p>
    <w:p>
      <w:pPr>
        <w:numPr>
          <w:ilvl w:val="0"/>
          <w:numId w:val="0"/>
        </w:numPr>
        <w:ind w:leftChars="0"/>
        <w:jc w:val="center"/>
        <w:rPr>
          <w:rFonts w:hint="default"/>
          <w:lang w:val="en-US" w:eastAsia="zh-CN"/>
        </w:rPr>
      </w:pPr>
      <w:r>
        <w:rPr>
          <w:rFonts w:hint="eastAsia"/>
          <w:lang w:val="en-US" w:eastAsia="zh-CN"/>
        </w:rPr>
        <w:t>图3</w:t>
      </w:r>
    </w:p>
    <w:p>
      <w:pPr>
        <w:numPr>
          <w:ilvl w:val="0"/>
          <w:numId w:val="0"/>
        </w:numPr>
        <w:ind w:leftChars="0"/>
        <w:jc w:val="both"/>
        <w:rPr>
          <w:rFonts w:hint="default"/>
          <w:lang w:val="en-US" w:eastAsia="zh-CN"/>
        </w:rPr>
      </w:pPr>
      <w:r>
        <w:rPr>
          <w:rFonts w:hint="eastAsia"/>
          <w:lang w:val="en-US" w:eastAsia="zh-CN"/>
        </w:rPr>
        <w:t>4、</w:t>
      </w:r>
      <w:r>
        <w:rPr>
          <w:rFonts w:hint="default"/>
          <w:lang w:val="en-US" w:eastAsia="zh-CN"/>
        </w:rPr>
        <w:t>当企业角色填写完成后暂时不想提交，可点击“保存”按钮，点击保存后报表状态变为待提交（见图</w:t>
      </w:r>
      <w:r>
        <w:rPr>
          <w:rFonts w:hint="eastAsia"/>
          <w:lang w:val="en-US" w:eastAsia="zh-CN"/>
        </w:rPr>
        <w:t>4</w:t>
      </w:r>
      <w:r>
        <w:rPr>
          <w:rFonts w:hint="default"/>
          <w:lang w:val="en-US" w:eastAsia="zh-CN"/>
        </w:rPr>
        <w:t>）。</w:t>
      </w:r>
    </w:p>
    <w:p>
      <w:pPr>
        <w:numPr>
          <w:ilvl w:val="0"/>
          <w:numId w:val="0"/>
        </w:numPr>
        <w:ind w:leftChars="0"/>
        <w:jc w:val="both"/>
        <w:rPr>
          <w:rFonts w:hint="default"/>
          <w:color w:val="auto"/>
          <w:lang w:val="en-US" w:eastAsia="zh-CN"/>
        </w:rPr>
      </w:pPr>
      <w:r>
        <w:rPr>
          <w:rFonts w:hint="eastAsia"/>
          <w:color w:val="auto"/>
          <w:lang w:val="en-US" w:eastAsia="zh-CN"/>
        </w:rPr>
        <w:t>注意：①</w:t>
      </w:r>
      <w:r>
        <w:rPr>
          <w:rFonts w:hint="default"/>
          <w:color w:val="auto"/>
          <w:lang w:val="en-US" w:eastAsia="zh-CN"/>
        </w:rPr>
        <w:t>当企业角色要对该部分数据进行修改时，选择【我的填报】-【填报查询】，编辑需要修改的填报期别，即可查看到之前保存的表单内容（见图</w:t>
      </w:r>
      <w:r>
        <w:rPr>
          <w:rFonts w:hint="eastAsia"/>
          <w:color w:val="auto"/>
          <w:lang w:val="en-US" w:eastAsia="zh-CN"/>
        </w:rPr>
        <w:t>5</w:t>
      </w:r>
      <w:r>
        <w:rPr>
          <w:rFonts w:hint="default"/>
          <w:color w:val="auto"/>
          <w:lang w:val="en-US" w:eastAsia="zh-CN"/>
        </w:rPr>
        <w:t>），企业角色可根据自己的需要进行修改或提交操作</w:t>
      </w:r>
      <w:r>
        <w:rPr>
          <w:rFonts w:hint="eastAsia"/>
          <w:color w:val="auto"/>
          <w:lang w:val="en-US" w:eastAsia="zh-CN"/>
        </w:rPr>
        <w:t>。</w:t>
      </w:r>
    </w:p>
    <w:p>
      <w:pPr>
        <w:numPr>
          <w:ilvl w:val="0"/>
          <w:numId w:val="0"/>
        </w:numPr>
        <w:ind w:leftChars="0" w:firstLine="480" w:firstLineChars="200"/>
        <w:jc w:val="both"/>
        <w:rPr>
          <w:rFonts w:hint="default"/>
          <w:lang w:val="en-US" w:eastAsia="zh-CN"/>
        </w:rPr>
      </w:pPr>
      <w:r>
        <w:rPr>
          <w:rFonts w:hint="eastAsia"/>
          <w:color w:val="auto"/>
          <w:lang w:val="en-US" w:eastAsia="zh-CN"/>
        </w:rPr>
        <w:t>②</w:t>
      </w:r>
      <w:r>
        <w:rPr>
          <w:rFonts w:hint="default"/>
          <w:color w:val="auto"/>
          <w:lang w:val="en-US" w:eastAsia="zh-CN"/>
        </w:rPr>
        <w:t>如果上月填报还未提交，点击【开始填报】会出现上月的填报记录，可以修改后提交或保存。</w:t>
      </w:r>
    </w:p>
    <w:p>
      <w:pPr>
        <w:numPr>
          <w:ilvl w:val="0"/>
          <w:numId w:val="0"/>
        </w:numPr>
        <w:ind w:leftChars="0"/>
        <w:jc w:val="both"/>
        <w:rPr>
          <w:rFonts w:hint="default"/>
          <w:lang w:val="en-US" w:eastAsia="zh-CN"/>
        </w:rPr>
      </w:pPr>
      <w:r>
        <w:rPr>
          <w:rFonts w:hint="default"/>
          <w:lang w:val="en-US" w:eastAsia="zh-CN"/>
        </w:rPr>
        <w:drawing>
          <wp:inline distT="0" distB="0" distL="114300" distR="114300">
            <wp:extent cx="5266690" cy="2477135"/>
            <wp:effectExtent l="0" t="0" r="6350" b="6985"/>
            <wp:docPr id="10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2"/>
                    <pic:cNvPicPr>
                      <a:picLocks noChangeAspect="1"/>
                    </pic:cNvPicPr>
                  </pic:nvPicPr>
                  <pic:blipFill>
                    <a:blip r:embed="rId28"/>
                    <a:stretch>
                      <a:fillRect/>
                    </a:stretch>
                  </pic:blipFill>
                  <pic:spPr>
                    <a:xfrm>
                      <a:off x="0" y="0"/>
                      <a:ext cx="5266690" cy="2477135"/>
                    </a:xfrm>
                    <a:prstGeom prst="rect">
                      <a:avLst/>
                    </a:prstGeom>
                    <a:noFill/>
                    <a:ln>
                      <a:noFill/>
                    </a:ln>
                  </pic:spPr>
                </pic:pic>
              </a:graphicData>
            </a:graphic>
          </wp:inline>
        </w:drawing>
      </w:r>
    </w:p>
    <w:p>
      <w:pPr>
        <w:numPr>
          <w:ilvl w:val="0"/>
          <w:numId w:val="0"/>
        </w:numPr>
        <w:ind w:leftChars="0"/>
        <w:jc w:val="center"/>
        <w:rPr>
          <w:rFonts w:hint="default"/>
          <w:lang w:val="en-US" w:eastAsia="zh-CN"/>
        </w:rPr>
      </w:pPr>
      <w:r>
        <w:rPr>
          <w:rFonts w:hint="eastAsia"/>
          <w:lang w:val="en-US" w:eastAsia="zh-CN"/>
        </w:rPr>
        <w:t>图4</w:t>
      </w:r>
    </w:p>
    <w:p>
      <w:pPr>
        <w:numPr>
          <w:ilvl w:val="0"/>
          <w:numId w:val="0"/>
        </w:numPr>
        <w:ind w:leftChars="0"/>
        <w:jc w:val="both"/>
        <w:rPr>
          <w:rFonts w:hint="default"/>
          <w:lang w:val="en-US" w:eastAsia="zh-CN"/>
        </w:rPr>
      </w:pPr>
      <w:r>
        <w:rPr>
          <w:rFonts w:hint="default"/>
          <w:lang w:val="en-US" w:eastAsia="zh-CN"/>
        </w:rPr>
        <w:drawing>
          <wp:inline distT="0" distB="0" distL="114300" distR="114300">
            <wp:extent cx="5266690" cy="2477135"/>
            <wp:effectExtent l="0" t="0" r="6350" b="6985"/>
            <wp:docPr id="10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3"/>
                    <pic:cNvPicPr>
                      <a:picLocks noChangeAspect="1"/>
                    </pic:cNvPicPr>
                  </pic:nvPicPr>
                  <pic:blipFill>
                    <a:blip r:embed="rId29"/>
                    <a:stretch>
                      <a:fillRect/>
                    </a:stretch>
                  </pic:blipFill>
                  <pic:spPr>
                    <a:xfrm>
                      <a:off x="0" y="0"/>
                      <a:ext cx="5266690" cy="2477135"/>
                    </a:xfrm>
                    <a:prstGeom prst="rect">
                      <a:avLst/>
                    </a:prstGeom>
                    <a:noFill/>
                    <a:ln>
                      <a:noFill/>
                    </a:ln>
                  </pic:spPr>
                </pic:pic>
              </a:graphicData>
            </a:graphic>
          </wp:inline>
        </w:drawing>
      </w:r>
    </w:p>
    <w:p>
      <w:pPr>
        <w:numPr>
          <w:ilvl w:val="0"/>
          <w:numId w:val="0"/>
        </w:numPr>
        <w:ind w:leftChars="0"/>
        <w:jc w:val="center"/>
        <w:rPr>
          <w:rFonts w:hint="default"/>
          <w:lang w:val="en-US" w:eastAsia="zh-CN"/>
        </w:rPr>
      </w:pPr>
      <w:r>
        <w:rPr>
          <w:rFonts w:hint="eastAsia"/>
          <w:lang w:val="en-US" w:eastAsia="zh-CN"/>
        </w:rPr>
        <w:t>图5</w:t>
      </w:r>
    </w:p>
    <w:p>
      <w:pPr>
        <w:pStyle w:val="4"/>
        <w:bidi w:val="0"/>
        <w:rPr>
          <w:rFonts w:hint="default"/>
          <w:lang w:val="en-US" w:eastAsia="zh-CN"/>
        </w:rPr>
      </w:pPr>
      <w:r>
        <w:rPr>
          <w:rFonts w:hint="default"/>
          <w:lang w:val="en-US" w:eastAsia="zh-CN"/>
        </w:rPr>
        <w:t>《跨省、区食盐销售情况备案表》填报流程</w:t>
      </w:r>
    </w:p>
    <w:p>
      <w:pPr>
        <w:rPr>
          <w:rFonts w:hint="default"/>
          <w:lang w:val="en-US" w:eastAsia="zh-CN"/>
        </w:rPr>
      </w:pPr>
      <w:r>
        <w:rPr>
          <w:rFonts w:hint="eastAsia"/>
          <w:lang w:val="en-US" w:eastAsia="zh-CN"/>
        </w:rPr>
        <w:t>1、</w:t>
      </w:r>
      <w:r>
        <w:rPr>
          <w:rFonts w:hint="default"/>
          <w:lang w:val="en-US" w:eastAsia="zh-CN"/>
        </w:rPr>
        <w:t>企业角色登录后，点击填报列表-填报列表概览，进入填报列表概览界面，点击《跨省、区食盐销售情况备案表》对应的“开始填报”按钮。</w:t>
      </w:r>
    </w:p>
    <w:p>
      <w:pPr>
        <w:rPr>
          <w:rFonts w:hint="default"/>
          <w:lang w:val="en-US" w:eastAsia="zh-CN"/>
        </w:rPr>
      </w:pPr>
      <w:r>
        <w:rPr>
          <w:rFonts w:hint="default"/>
          <w:lang w:val="en-US" w:eastAsia="zh-CN"/>
        </w:rPr>
        <w:drawing>
          <wp:inline distT="0" distB="0" distL="114300" distR="114300">
            <wp:extent cx="5266690" cy="2477135"/>
            <wp:effectExtent l="0" t="0" r="6350" b="6985"/>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30"/>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图1</w:t>
      </w:r>
    </w:p>
    <w:p>
      <w:pPr>
        <w:rPr>
          <w:rFonts w:hint="default"/>
          <w:lang w:val="en-US" w:eastAsia="zh-CN"/>
        </w:rPr>
      </w:pPr>
      <w:r>
        <w:rPr>
          <w:rFonts w:hint="eastAsia"/>
          <w:lang w:val="en-US" w:eastAsia="zh-CN"/>
        </w:rPr>
        <w:t>2、</w:t>
      </w:r>
      <w:r>
        <w:rPr>
          <w:rFonts w:hint="default"/>
          <w:lang w:val="en-US" w:eastAsia="zh-CN"/>
        </w:rPr>
        <w:t>点击“开始填报”按钮后，即可打开对应的报表填写页面，企业用户在填写报表时，首先选择填报时间（</w:t>
      </w:r>
      <w:r>
        <w:rPr>
          <w:rFonts w:hint="default"/>
          <w:color w:val="FF0000"/>
          <w:lang w:val="en-US" w:eastAsia="zh-CN"/>
        </w:rPr>
        <w:t>说明：</w:t>
      </w:r>
      <w:r>
        <w:rPr>
          <w:rFonts w:hint="eastAsia"/>
          <w:color w:val="0000FF"/>
          <w:lang w:val="en-US" w:eastAsia="zh-CN"/>
        </w:rPr>
        <w:t>填报起始时间为2020年4季度，但数据为2020年全年数据。自2021年起，逐季度依规按时报送</w:t>
      </w:r>
      <w:r>
        <w:rPr>
          <w:rFonts w:hint="default"/>
          <w:lang w:val="en-US" w:eastAsia="zh-CN"/>
        </w:rPr>
        <w:t>）</w:t>
      </w:r>
      <w:r>
        <w:rPr>
          <w:rFonts w:hint="eastAsia"/>
          <w:lang w:val="en-US" w:eastAsia="zh-CN"/>
        </w:rPr>
        <w:t>。</w:t>
      </w:r>
    </w:p>
    <w:p>
      <w:pPr>
        <w:rPr>
          <w:rFonts w:hint="default"/>
          <w:lang w:val="en-US" w:eastAsia="zh-CN"/>
        </w:rPr>
      </w:pPr>
      <w:r>
        <w:rPr>
          <w:rFonts w:hint="default"/>
          <w:lang w:val="en-US" w:eastAsia="zh-CN"/>
        </w:rPr>
        <w:t>注意</w:t>
      </w:r>
      <w:r>
        <w:rPr>
          <w:rFonts w:hint="eastAsia"/>
          <w:lang w:val="en-US" w:eastAsia="zh-CN"/>
        </w:rPr>
        <w:t>：</w:t>
      </w:r>
      <w:r>
        <w:rPr>
          <w:rFonts w:hint="default"/>
          <w:lang w:val="en-US" w:eastAsia="zh-CN"/>
        </w:rPr>
        <w:t>必填项填写，所有必填项前均存在“*”标志。</w:t>
      </w:r>
    </w:p>
    <w:p>
      <w:pPr>
        <w:rPr>
          <w:rFonts w:hint="default"/>
          <w:lang w:val="en-US" w:eastAsia="zh-CN"/>
        </w:rPr>
      </w:pPr>
      <w:r>
        <w:rPr>
          <w:rFonts w:hint="default"/>
          <w:lang w:val="en-US" w:eastAsia="zh-CN"/>
        </w:rPr>
        <w:drawing>
          <wp:inline distT="0" distB="0" distL="114300" distR="114300">
            <wp:extent cx="5266690" cy="2477135"/>
            <wp:effectExtent l="0" t="0" r="6350" b="6985"/>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31"/>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图2</w:t>
      </w:r>
    </w:p>
    <w:p>
      <w:pPr>
        <w:jc w:val="both"/>
        <w:rPr>
          <w:rFonts w:hint="default"/>
          <w:lang w:val="en-US" w:eastAsia="zh-CN"/>
        </w:rPr>
      </w:pPr>
      <w:r>
        <w:rPr>
          <w:rFonts w:hint="eastAsia"/>
          <w:lang w:val="en-US" w:eastAsia="zh-CN"/>
        </w:rPr>
        <w:t>3、要填写跨省、区经营食盐情况时，需要先下载模板，所以先点击“下载模板”按钮。</w:t>
      </w:r>
    </w:p>
    <w:p>
      <w:pPr>
        <w:jc w:val="both"/>
        <w:rPr>
          <w:rFonts w:hint="default"/>
          <w:lang w:val="en-US" w:eastAsia="zh-CN"/>
        </w:rPr>
      </w:pPr>
      <w:r>
        <w:rPr>
          <w:rFonts w:hint="default"/>
          <w:lang w:val="en-US" w:eastAsia="zh-CN"/>
        </w:rPr>
        <w:drawing>
          <wp:inline distT="0" distB="0" distL="114300" distR="114300">
            <wp:extent cx="5266690" cy="2477135"/>
            <wp:effectExtent l="0" t="0" r="6350" b="6985"/>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32"/>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图3</w:t>
      </w:r>
    </w:p>
    <w:p>
      <w:pPr>
        <w:rPr>
          <w:rFonts w:hint="default"/>
          <w:lang w:val="en-US" w:eastAsia="zh-CN"/>
        </w:rPr>
      </w:pPr>
      <w:r>
        <w:rPr>
          <w:rFonts w:hint="eastAsia"/>
          <w:lang w:val="en-US" w:eastAsia="zh-CN"/>
        </w:rPr>
        <w:t>4、模板下载完成后，打开它，按照模板输入经营食盐具体情况。</w:t>
      </w:r>
    </w:p>
    <w:p>
      <w:pPr>
        <w:rPr>
          <w:rFonts w:hint="default"/>
          <w:lang w:val="en-US" w:eastAsia="zh-CN"/>
        </w:rPr>
      </w:pPr>
      <w:r>
        <w:rPr>
          <w:rFonts w:hint="default"/>
          <w:lang w:val="en-US" w:eastAsia="zh-CN"/>
        </w:rPr>
        <w:drawing>
          <wp:inline distT="0" distB="0" distL="114300" distR="114300">
            <wp:extent cx="5266690" cy="2474595"/>
            <wp:effectExtent l="0" t="0" r="6350" b="9525"/>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33"/>
                    <a:stretch>
                      <a:fillRect/>
                    </a:stretch>
                  </pic:blipFill>
                  <pic:spPr>
                    <a:xfrm>
                      <a:off x="0" y="0"/>
                      <a:ext cx="5266690" cy="247459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图4</w:t>
      </w:r>
    </w:p>
    <w:p>
      <w:pPr>
        <w:rPr>
          <w:rFonts w:hint="default"/>
          <w:lang w:val="en-US" w:eastAsia="zh-CN"/>
        </w:rPr>
      </w:pPr>
      <w:r>
        <w:rPr>
          <w:rFonts w:hint="default"/>
          <w:lang w:val="en-US" w:eastAsia="zh-CN"/>
        </w:rPr>
        <w:drawing>
          <wp:inline distT="0" distB="0" distL="114300" distR="114300">
            <wp:extent cx="5269865" cy="2219325"/>
            <wp:effectExtent l="0" t="0" r="3175" b="5715"/>
            <wp:docPr id="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pic:cNvPicPr>
                      <a:picLocks noChangeAspect="1"/>
                    </pic:cNvPicPr>
                  </pic:nvPicPr>
                  <pic:blipFill>
                    <a:blip r:embed="rId34"/>
                    <a:stretch>
                      <a:fillRect/>
                    </a:stretch>
                  </pic:blipFill>
                  <pic:spPr>
                    <a:xfrm>
                      <a:off x="0" y="0"/>
                      <a:ext cx="5269865" cy="221932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图5</w:t>
      </w:r>
    </w:p>
    <w:p>
      <w:pPr>
        <w:jc w:val="both"/>
        <w:rPr>
          <w:rFonts w:hint="eastAsia"/>
          <w:lang w:val="en-US" w:eastAsia="zh-CN"/>
        </w:rPr>
      </w:pPr>
      <w:r>
        <w:rPr>
          <w:rFonts w:hint="eastAsia"/>
          <w:lang w:val="en-US" w:eastAsia="zh-CN"/>
        </w:rPr>
        <w:t>5、填写完模板后，点击保存，保存到容易找到的位置（建议保存到桌面），并关闭模板文档。</w:t>
      </w:r>
    </w:p>
    <w:p>
      <w:pPr>
        <w:jc w:val="both"/>
        <w:rPr>
          <w:rFonts w:hint="default"/>
          <w:lang w:val="en-US" w:eastAsia="zh-CN"/>
        </w:rPr>
      </w:pPr>
      <w:r>
        <w:rPr>
          <w:rFonts w:hint="default"/>
          <w:lang w:val="en-US" w:eastAsia="zh-CN"/>
        </w:rPr>
        <w:drawing>
          <wp:inline distT="0" distB="0" distL="114300" distR="114300">
            <wp:extent cx="5266690" cy="2825750"/>
            <wp:effectExtent l="0" t="0" r="6350" b="8890"/>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pic:cNvPicPr>
                  </pic:nvPicPr>
                  <pic:blipFill>
                    <a:blip r:embed="rId35"/>
                    <a:stretch>
                      <a:fillRect/>
                    </a:stretch>
                  </pic:blipFill>
                  <pic:spPr>
                    <a:xfrm>
                      <a:off x="0" y="0"/>
                      <a:ext cx="5266690" cy="2825750"/>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图6</w:t>
      </w:r>
    </w:p>
    <w:p>
      <w:pPr>
        <w:jc w:val="both"/>
        <w:rPr>
          <w:rFonts w:hint="default"/>
          <w:lang w:val="en-US" w:eastAsia="zh-CN"/>
        </w:rPr>
      </w:pPr>
      <w:r>
        <w:rPr>
          <w:rFonts w:hint="eastAsia"/>
          <w:lang w:val="en-US" w:eastAsia="zh-CN"/>
        </w:rPr>
        <w:t>6、点击“点击上传”按钮（见图7），选择想要上传文件，点击“打开”按钮（见图8）。弹出上传成功提示后，可直接点击“提交”按钮，提交后报表状态变为待市局审核，市局角色可查看到报表内容。</w:t>
      </w:r>
    </w:p>
    <w:p>
      <w:pPr>
        <w:jc w:val="both"/>
        <w:rPr>
          <w:rFonts w:hint="default"/>
          <w:lang w:val="en-US" w:eastAsia="zh-CN"/>
        </w:rPr>
      </w:pPr>
      <w:r>
        <w:rPr>
          <w:rFonts w:hint="default"/>
          <w:lang w:val="en-US" w:eastAsia="zh-CN"/>
        </w:rPr>
        <w:drawing>
          <wp:inline distT="0" distB="0" distL="114300" distR="114300">
            <wp:extent cx="5266690" cy="2477135"/>
            <wp:effectExtent l="0" t="0" r="6350" b="6985"/>
            <wp:docPr id="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
                    <pic:cNvPicPr>
                      <a:picLocks noChangeAspect="1"/>
                    </pic:cNvPicPr>
                  </pic:nvPicPr>
                  <pic:blipFill>
                    <a:blip r:embed="rId36"/>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图7</w:t>
      </w:r>
    </w:p>
    <w:p>
      <w:pPr>
        <w:jc w:val="both"/>
        <w:rPr>
          <w:rFonts w:hint="default"/>
          <w:lang w:val="en-US" w:eastAsia="zh-CN"/>
        </w:rPr>
      </w:pPr>
      <w:r>
        <w:rPr>
          <w:rFonts w:hint="default"/>
          <w:lang w:val="en-US" w:eastAsia="zh-CN"/>
        </w:rPr>
        <w:drawing>
          <wp:inline distT="0" distB="0" distL="114300" distR="114300">
            <wp:extent cx="5275580" cy="2524125"/>
            <wp:effectExtent l="0" t="0" r="12700" b="5715"/>
            <wp:docPr id="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
                    <pic:cNvPicPr>
                      <a:picLocks noChangeAspect="1"/>
                    </pic:cNvPicPr>
                  </pic:nvPicPr>
                  <pic:blipFill>
                    <a:blip r:embed="rId37"/>
                    <a:stretch>
                      <a:fillRect/>
                    </a:stretch>
                  </pic:blipFill>
                  <pic:spPr>
                    <a:xfrm>
                      <a:off x="0" y="0"/>
                      <a:ext cx="5275580" cy="252412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图8</w:t>
      </w:r>
    </w:p>
    <w:p>
      <w:pPr>
        <w:jc w:val="both"/>
        <w:rPr>
          <w:rFonts w:hint="default"/>
          <w:lang w:val="en-US" w:eastAsia="zh-CN"/>
        </w:rPr>
      </w:pPr>
      <w:r>
        <w:rPr>
          <w:rFonts w:hint="default"/>
          <w:lang w:val="en-US" w:eastAsia="zh-CN"/>
        </w:rPr>
        <w:drawing>
          <wp:inline distT="0" distB="0" distL="114300" distR="114300">
            <wp:extent cx="5266690" cy="2477135"/>
            <wp:effectExtent l="0" t="0" r="6350" b="6985"/>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38"/>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图9</w:t>
      </w:r>
    </w:p>
    <w:p>
      <w:pPr>
        <w:jc w:val="both"/>
        <w:rPr>
          <w:rFonts w:hint="eastAsia"/>
          <w:lang w:val="en-US" w:eastAsia="zh-CN"/>
        </w:rPr>
      </w:pPr>
      <w:r>
        <w:rPr>
          <w:rFonts w:hint="eastAsia"/>
          <w:lang w:val="en-US" w:eastAsia="zh-CN"/>
        </w:rPr>
        <w:t>7、当企业角色填写完成后暂时不想提交，可点击“保存”按钮，点击保存后报表状态变为待提交（见图10）。</w:t>
      </w:r>
    </w:p>
    <w:p>
      <w:pPr>
        <w:jc w:val="both"/>
        <w:rPr>
          <w:rFonts w:hint="default"/>
          <w:color w:val="auto"/>
          <w:lang w:val="en-US" w:eastAsia="zh-CN"/>
        </w:rPr>
      </w:pPr>
      <w:r>
        <w:rPr>
          <w:rFonts w:hint="eastAsia"/>
          <w:lang w:val="en-US" w:eastAsia="zh-CN"/>
        </w:rPr>
        <w:t>注意：①</w:t>
      </w:r>
      <w:r>
        <w:rPr>
          <w:rFonts w:hint="eastAsia"/>
          <w:color w:val="auto"/>
          <w:lang w:val="en-US" w:eastAsia="zh-CN"/>
        </w:rPr>
        <w:t>当企业角色要对该部分数据进行修改时，选择【我的填报】-【填报查询】，编辑需要修改的填报期别，即可查看到之前保存的表单内容（见图11），企业角色可根据自己的需要进行修改或提交操作。</w:t>
      </w:r>
    </w:p>
    <w:p>
      <w:pPr>
        <w:ind w:firstLine="480" w:firstLineChars="200"/>
        <w:jc w:val="both"/>
        <w:rPr>
          <w:rFonts w:hint="eastAsia"/>
          <w:color w:val="FF0000"/>
          <w:lang w:val="en-US" w:eastAsia="zh-CN"/>
        </w:rPr>
      </w:pPr>
      <w:r>
        <w:rPr>
          <w:rFonts w:hint="eastAsia"/>
          <w:color w:val="auto"/>
          <w:lang w:val="en-US" w:eastAsia="zh-CN"/>
        </w:rPr>
        <w:t>②如果上次填报还未提交，点击【开始填报】会出现上次的填报记录，可以修改后提交或保存。</w:t>
      </w:r>
    </w:p>
    <w:p>
      <w:pPr>
        <w:jc w:val="both"/>
        <w:rPr>
          <w:rFonts w:hint="default"/>
          <w:lang w:val="en-US" w:eastAsia="zh-CN"/>
        </w:rPr>
      </w:pPr>
      <w:r>
        <w:rPr>
          <w:rFonts w:hint="default"/>
          <w:lang w:val="en-US" w:eastAsia="zh-CN"/>
        </w:rPr>
        <w:drawing>
          <wp:inline distT="0" distB="0" distL="114300" distR="114300">
            <wp:extent cx="5266690" cy="2477135"/>
            <wp:effectExtent l="0" t="0" r="6350" b="6985"/>
            <wp:docPr id="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6"/>
                    <pic:cNvPicPr>
                      <a:picLocks noChangeAspect="1"/>
                    </pic:cNvPicPr>
                  </pic:nvPicPr>
                  <pic:blipFill>
                    <a:blip r:embed="rId39"/>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图10</w:t>
      </w:r>
    </w:p>
    <w:p>
      <w:pPr>
        <w:jc w:val="both"/>
        <w:rPr>
          <w:rFonts w:hint="default"/>
          <w:lang w:val="en-US" w:eastAsia="zh-CN"/>
        </w:rPr>
      </w:pPr>
      <w:r>
        <w:rPr>
          <w:rFonts w:hint="default"/>
          <w:lang w:val="en-US" w:eastAsia="zh-CN"/>
        </w:rPr>
        <w:drawing>
          <wp:inline distT="0" distB="0" distL="114300" distR="114300">
            <wp:extent cx="5266690" cy="2477135"/>
            <wp:effectExtent l="0" t="0" r="6350" b="6985"/>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40"/>
                    <a:stretch>
                      <a:fillRect/>
                    </a:stretch>
                  </pic:blipFill>
                  <pic:spPr>
                    <a:xfrm>
                      <a:off x="0" y="0"/>
                      <a:ext cx="5266690" cy="24771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图11</w:t>
      </w:r>
    </w:p>
    <w:p>
      <w:pPr>
        <w:pStyle w:val="3"/>
      </w:pPr>
      <w:bookmarkStart w:id="87" w:name="_Toc28433"/>
      <w:bookmarkStart w:id="88" w:name="_Toc8701"/>
      <w:bookmarkStart w:id="89" w:name="_Toc25865"/>
      <w:bookmarkStart w:id="90" w:name="_Toc3356"/>
      <w:bookmarkStart w:id="91" w:name="_Toc7903"/>
      <w:bookmarkStart w:id="92" w:name="_Toc13223"/>
      <w:bookmarkStart w:id="93" w:name="_Toc28233"/>
      <w:bookmarkStart w:id="94" w:name="_Toc25880"/>
      <w:bookmarkStart w:id="95" w:name="_Toc31503"/>
      <w:r>
        <w:rPr>
          <w:rFonts w:hint="eastAsia"/>
        </w:rPr>
        <w:t>市局角色</w:t>
      </w:r>
      <w:bookmarkEnd w:id="87"/>
      <w:bookmarkEnd w:id="88"/>
      <w:bookmarkEnd w:id="89"/>
      <w:bookmarkEnd w:id="90"/>
      <w:bookmarkEnd w:id="91"/>
      <w:bookmarkEnd w:id="92"/>
      <w:bookmarkEnd w:id="93"/>
      <w:bookmarkEnd w:id="94"/>
      <w:bookmarkEnd w:id="95"/>
    </w:p>
    <w:p>
      <w:pPr>
        <w:pStyle w:val="4"/>
      </w:pPr>
      <w:r>
        <w:rPr>
          <w:rFonts w:hint="eastAsia"/>
        </w:rPr>
        <w:t>市局角色报表预览、审核及审核日志查看</w:t>
      </w:r>
    </w:p>
    <w:p>
      <w:pPr>
        <w:numPr>
          <w:ilvl w:val="-1"/>
          <w:numId w:val="0"/>
        </w:numPr>
        <w:ind w:left="0" w:firstLine="0"/>
        <w:rPr>
          <w:rFonts w:ascii="黑体" w:hAnsi="宋体"/>
          <w:color w:val="auto"/>
          <w:szCs w:val="22"/>
        </w:rPr>
      </w:pPr>
      <w:r>
        <w:rPr>
          <w:rFonts w:hint="eastAsia"/>
          <w:color w:val="auto"/>
        </w:rPr>
        <w:t>在企业角色提交报表后，市局角色可在填报审核菜单页对应的报表内查看到企业角色提交的报表，点击“预览”按钮即可查看企业角色填写的报表内容(见图2、3)，点击“审核”按钮(见图3)，可对企业角色提交的报表进行审核(见图4)，审核通过后，报表状态变为待省厅审核，</w:t>
      </w:r>
      <w:r>
        <w:rPr>
          <w:rFonts w:hint="eastAsia" w:ascii="黑体" w:hAnsi="宋体"/>
          <w:color w:val="auto"/>
          <w:szCs w:val="22"/>
        </w:rPr>
        <w:t>省厅角色可查看到报表内容；若市局角色审核不通过，则报表状态变为市局已驳回，省厅角色不能查看到该报表信息，企业角色可对该报表进行修改再次提交，直至市局审核通过。点击审核日志，即可查看该报表审核情况。</w:t>
      </w:r>
    </w:p>
    <w:p>
      <w:r>
        <w:drawing>
          <wp:inline distT="0" distB="0" distL="0" distR="0">
            <wp:extent cx="5270500" cy="2476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图1</w:t>
      </w:r>
    </w:p>
    <w:p>
      <w:r>
        <w:drawing>
          <wp:inline distT="0" distB="0" distL="0" distR="0">
            <wp:extent cx="5270500" cy="2476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图2</w:t>
      </w:r>
    </w:p>
    <w:p/>
    <w:p>
      <w:r>
        <w:drawing>
          <wp:inline distT="0" distB="0" distL="0" distR="0">
            <wp:extent cx="5270500" cy="2476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图3</w:t>
      </w:r>
    </w:p>
    <w:p>
      <w:r>
        <w:drawing>
          <wp:inline distT="0" distB="0" distL="0" distR="0">
            <wp:extent cx="5270500" cy="2476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图4</w:t>
      </w:r>
    </w:p>
    <w:p>
      <w:pPr>
        <w:pStyle w:val="4"/>
      </w:pPr>
      <w:r>
        <w:rPr>
          <w:rFonts w:hint="eastAsia"/>
        </w:rPr>
        <w:t>市局角色查询及导出</w:t>
      </w:r>
    </w:p>
    <w:p>
      <w:pPr>
        <w:numPr>
          <w:ilvl w:val="0"/>
          <w:numId w:val="0"/>
        </w:numPr>
        <w:ind w:left="0" w:firstLine="0"/>
      </w:pPr>
      <w:r>
        <w:rPr>
          <w:rFonts w:hint="eastAsia"/>
        </w:rPr>
        <w:t>市局</w:t>
      </w:r>
      <w:r>
        <w:rPr>
          <w:rFonts w:hint="eastAsia"/>
          <w:color w:val="auto"/>
        </w:rPr>
        <w:t>角色</w:t>
      </w:r>
      <w:r>
        <w:rPr>
          <w:rFonts w:hint="eastAsia"/>
        </w:rPr>
        <w:t>打开查询统计，选择相应的报表类型，输入搜索条件，即可查询想要查询的报表信息，点击“导出”按钮即可导出查询出报表的excel文件。</w:t>
      </w:r>
    </w:p>
    <w:p>
      <w:r>
        <w:drawing>
          <wp:inline distT="0" distB="0" distL="0" distR="0">
            <wp:extent cx="5270500" cy="2476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图1</w:t>
      </w:r>
    </w:p>
    <w:p>
      <w:pPr>
        <w:pStyle w:val="4"/>
      </w:pPr>
      <w:r>
        <w:rPr>
          <w:rFonts w:hint="eastAsia"/>
        </w:rPr>
        <w:t>市局查看企业注册信息</w:t>
      </w:r>
    </w:p>
    <w:p>
      <w:pPr>
        <w:numPr>
          <w:ilvl w:val="0"/>
          <w:numId w:val="0"/>
        </w:numPr>
        <w:ind w:firstLine="0"/>
      </w:pPr>
      <w:r>
        <w:rPr>
          <w:rFonts w:hint="eastAsia"/>
        </w:rPr>
        <w:t>市局角色点击【盐行业企业管理】-【企业管理】，可以查看到该市下属的盐业企业注册列表，可以预览和查看相应的审核日志。</w:t>
      </w:r>
    </w:p>
    <w:p>
      <w:pPr>
        <w:ind w:firstLine="420"/>
      </w:pPr>
      <w:r>
        <w:drawing>
          <wp:inline distT="0" distB="0" distL="0" distR="0">
            <wp:extent cx="5278120" cy="259143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6"/>
                    <a:stretch>
                      <a:fillRect/>
                    </a:stretch>
                  </pic:blipFill>
                  <pic:spPr>
                    <a:xfrm>
                      <a:off x="0" y="0"/>
                      <a:ext cx="5278120" cy="2591435"/>
                    </a:xfrm>
                    <a:prstGeom prst="rect">
                      <a:avLst/>
                    </a:prstGeom>
                  </pic:spPr>
                </pic:pic>
              </a:graphicData>
            </a:graphic>
          </wp:inline>
        </w:drawing>
      </w:r>
    </w:p>
    <w:p>
      <w:pPr>
        <w:ind w:firstLine="420"/>
        <w:jc w:val="center"/>
      </w:pPr>
      <w:r>
        <w:rPr>
          <w:rFonts w:hint="eastAsia"/>
        </w:rPr>
        <w:t>图</w:t>
      </w:r>
      <w:r>
        <w:t>1</w:t>
      </w:r>
    </w:p>
    <w:p>
      <w:pPr>
        <w:pStyle w:val="3"/>
      </w:pPr>
      <w:bookmarkStart w:id="96" w:name="_Toc5294"/>
      <w:bookmarkStart w:id="97" w:name="_Toc15253"/>
      <w:bookmarkStart w:id="98" w:name="_Toc1271"/>
      <w:bookmarkStart w:id="99" w:name="_Toc14087"/>
      <w:bookmarkStart w:id="100" w:name="_Toc20784"/>
      <w:bookmarkStart w:id="101" w:name="_Toc30274"/>
      <w:bookmarkStart w:id="102" w:name="_Toc22913"/>
      <w:bookmarkStart w:id="103" w:name="_Toc21934"/>
      <w:bookmarkStart w:id="104" w:name="_Toc12392"/>
      <w:r>
        <w:rPr>
          <w:rFonts w:hint="eastAsia"/>
        </w:rPr>
        <w:t>省厅角色</w:t>
      </w:r>
      <w:bookmarkEnd w:id="96"/>
      <w:bookmarkEnd w:id="97"/>
      <w:bookmarkEnd w:id="98"/>
      <w:bookmarkEnd w:id="99"/>
      <w:bookmarkEnd w:id="100"/>
      <w:bookmarkEnd w:id="101"/>
      <w:bookmarkEnd w:id="102"/>
      <w:bookmarkEnd w:id="103"/>
      <w:bookmarkEnd w:id="104"/>
    </w:p>
    <w:p>
      <w:pPr>
        <w:pStyle w:val="4"/>
      </w:pPr>
      <w:bookmarkStart w:id="105" w:name="_Toc53153931"/>
      <w:r>
        <w:rPr>
          <w:rFonts w:hint="eastAsia"/>
        </w:rPr>
        <w:t>省厅角色报表预览、审核及</w:t>
      </w:r>
      <w:bookmarkEnd w:id="105"/>
      <w:r>
        <w:rPr>
          <w:rFonts w:hint="eastAsia"/>
        </w:rPr>
        <w:t>审核日志查看</w:t>
      </w:r>
    </w:p>
    <w:p>
      <w:pPr>
        <w:numPr>
          <w:ilvl w:val="0"/>
          <w:numId w:val="0"/>
        </w:numPr>
        <w:ind w:left="0" w:firstLine="0"/>
        <w:rPr>
          <w:rFonts w:ascii="黑体" w:hAnsi="宋体"/>
          <w:szCs w:val="22"/>
        </w:rPr>
      </w:pPr>
      <w:r>
        <w:rPr>
          <w:rFonts w:hint="eastAsia"/>
        </w:rPr>
        <w:t>在企业角色提交报表且市局角色审核通过后，省厅角色可在填报审核菜单页对应的报表内查看到企业角色提交的报表，点击“预览”按钮即可查看企业角色填写的报表内容(见图2、3)，点击“审核”按钮，可对企业角色提交的报表进行审核(见图4)，审核通过后，报表内容入库；若</w:t>
      </w:r>
      <w:r>
        <w:rPr>
          <w:rFonts w:hint="eastAsia" w:ascii="黑体" w:hAnsi="宋体"/>
          <w:szCs w:val="22"/>
        </w:rPr>
        <w:t>省厅角色审核不通过，则报表状态变为省厅已驳回，企业角色及市局角色可查看到审核结果及审核内容，企业角色可对该报表进行修改再次此提交，直至市局及省厅审核通过。点击审核日志，即可查看该报表审核情况。</w:t>
      </w:r>
    </w:p>
    <w:p>
      <w:r>
        <w:drawing>
          <wp:inline distT="0" distB="0" distL="0" distR="0">
            <wp:extent cx="5270500" cy="2476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图1</w:t>
      </w:r>
    </w:p>
    <w:p>
      <w:r>
        <w:drawing>
          <wp:inline distT="0" distB="0" distL="0" distR="0">
            <wp:extent cx="5270500" cy="2476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图2</w:t>
      </w:r>
    </w:p>
    <w:p>
      <w:r>
        <w:drawing>
          <wp:inline distT="0" distB="0" distL="0" distR="0">
            <wp:extent cx="5270500" cy="2476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图3</w:t>
      </w:r>
    </w:p>
    <w:p>
      <w:r>
        <w:drawing>
          <wp:inline distT="0" distB="0" distL="0" distR="0">
            <wp:extent cx="5270500" cy="24765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图4</w:t>
      </w:r>
    </w:p>
    <w:p/>
    <w:p>
      <w:pPr>
        <w:pStyle w:val="4"/>
      </w:pPr>
      <w:r>
        <w:rPr>
          <w:rFonts w:hint="eastAsia"/>
        </w:rPr>
        <w:t>省厅角色报表查询及导出</w:t>
      </w:r>
    </w:p>
    <w:p>
      <w:pPr>
        <w:numPr>
          <w:ilvl w:val="0"/>
          <w:numId w:val="0"/>
        </w:numPr>
        <w:ind w:left="0" w:firstLine="0"/>
      </w:pPr>
      <w:r>
        <w:rPr>
          <w:rFonts w:hint="eastAsia"/>
        </w:rPr>
        <w:t>省厅角色打开查询统计，选择相应的报表类型，输入搜索条件，即可查询想要查询的报表信息，点击“导出”按钮即可导出查询出报表的excel文件。</w:t>
      </w:r>
    </w:p>
    <w:p>
      <w:r>
        <w:drawing>
          <wp:inline distT="0" distB="0" distL="0" distR="0">
            <wp:extent cx="5270500" cy="2476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图1</w:t>
      </w:r>
    </w:p>
    <w:p>
      <w:pPr>
        <w:pStyle w:val="4"/>
      </w:pPr>
      <w:r>
        <w:rPr>
          <w:rFonts w:hint="eastAsia"/>
        </w:rPr>
        <w:t>省厅角色管理</w:t>
      </w:r>
      <w:r>
        <w:rPr>
          <w:rFonts w:hint="eastAsia"/>
          <w:color w:val="000000"/>
        </w:rPr>
        <w:t>企业信息</w:t>
      </w:r>
    </w:p>
    <w:p>
      <w:pPr>
        <w:numPr>
          <w:ilvl w:val="0"/>
          <w:numId w:val="0"/>
        </w:numPr>
        <w:ind w:left="0" w:firstLine="0"/>
        <w:rPr>
          <w:color w:val="000000"/>
        </w:rPr>
      </w:pPr>
      <w:r>
        <w:rPr>
          <w:rFonts w:hint="eastAsia"/>
          <w:color w:val="000000"/>
        </w:rPr>
        <w:t>省厅角色在盐行业企业管理页面，可查询已注册的企业信息，可查看企业信息详情，对该企业用户进行管理，且可以对企业进行撤销备案操作（即注销企业）。</w:t>
      </w:r>
    </w:p>
    <w:p>
      <w:r>
        <w:drawing>
          <wp:inline distT="0" distB="0" distL="0" distR="0">
            <wp:extent cx="5270500" cy="2476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图1</w:t>
      </w:r>
    </w:p>
    <w:p>
      <w:pPr>
        <w:pStyle w:val="4"/>
      </w:pPr>
      <w:r>
        <w:rPr>
          <w:rFonts w:hint="eastAsia"/>
          <w:color w:val="000000"/>
        </w:rPr>
        <w:t>省厅角色权限管理</w:t>
      </w:r>
    </w:p>
    <w:p>
      <w:pPr>
        <w:numPr>
          <w:ilvl w:val="-1"/>
          <w:numId w:val="0"/>
        </w:numPr>
        <w:ind w:left="0" w:firstLine="0"/>
      </w:pPr>
      <w:r>
        <w:rPr>
          <w:rFonts w:hint="eastAsia"/>
          <w:color w:val="000000"/>
          <w:lang w:val="en-US" w:eastAsia="zh-CN"/>
        </w:rPr>
        <w:t>1、</w:t>
      </w:r>
      <w:r>
        <w:rPr>
          <w:rFonts w:hint="eastAsia"/>
          <w:color w:val="000000"/>
        </w:rPr>
        <w:t>省厅角色可在</w:t>
      </w:r>
      <w:r>
        <w:rPr>
          <w:rFonts w:hint="eastAsia"/>
        </w:rPr>
        <w:t>权限管理-组织管理处管理省厅、市局、企业层级关系，包括添加、编辑、删除节点。下图为添加市局角色。</w:t>
      </w:r>
    </w:p>
    <w:p>
      <w:pPr>
        <w:ind w:left="360"/>
      </w:pPr>
      <w:r>
        <w:drawing>
          <wp:inline distT="0" distB="0" distL="0" distR="0">
            <wp:extent cx="5270500" cy="2476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图1</w:t>
      </w:r>
    </w:p>
    <w:p>
      <w:pPr>
        <w:ind w:left="360"/>
      </w:pPr>
      <w:r>
        <w:drawing>
          <wp:inline distT="0" distB="0" distL="0" distR="0">
            <wp:extent cx="5270500" cy="2476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图2</w:t>
      </w:r>
    </w:p>
    <w:p>
      <w:pPr>
        <w:ind w:left="360"/>
      </w:pPr>
      <w:r>
        <w:drawing>
          <wp:inline distT="0" distB="0" distL="0" distR="0">
            <wp:extent cx="5270500" cy="2476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图3</w:t>
      </w:r>
    </w:p>
    <w:p>
      <w:pPr>
        <w:numPr>
          <w:ilvl w:val="-1"/>
          <w:numId w:val="0"/>
        </w:numPr>
        <w:ind w:left="0" w:firstLine="0"/>
      </w:pPr>
      <w:r>
        <w:rPr>
          <w:rFonts w:hint="eastAsia"/>
          <w:lang w:val="en-US" w:eastAsia="zh-CN"/>
        </w:rPr>
        <w:t>2、</w:t>
      </w:r>
      <w:r>
        <w:rPr>
          <w:rFonts w:hint="eastAsia"/>
        </w:rPr>
        <w:t>市局角色信息添加完成后，需手动在权限管理-用户管理处对应市局下添加账号密码等信息(见图2，需注意：所属部门选择对应市局角色，角色选择市局工信局角色，状态选择有效，若状态选择无效，则该市局角色账号无法登录)。省厅角色可在此为市局角色配置系统登陆账号密码等信息，也可修改或注销市局角色账号。使用该账号即可登录系统并拥有对应权限。</w:t>
      </w:r>
    </w:p>
    <w:p>
      <w:pPr>
        <w:ind w:left="360"/>
      </w:pPr>
      <w:r>
        <w:drawing>
          <wp:inline distT="0" distB="0" distL="0" distR="0">
            <wp:extent cx="5270500" cy="2476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图1</w:t>
      </w:r>
    </w:p>
    <w:p>
      <w:pPr>
        <w:ind w:left="360"/>
      </w:pPr>
      <w:r>
        <w:drawing>
          <wp:inline distT="0" distB="0" distL="0" distR="0">
            <wp:extent cx="5270500" cy="24765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图2</w:t>
      </w:r>
    </w:p>
    <w:p>
      <w:pPr>
        <w:ind w:left="360"/>
      </w:pPr>
      <w:r>
        <w:drawing>
          <wp:inline distT="0" distB="0" distL="0" distR="0">
            <wp:extent cx="5270500" cy="2476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图3</w:t>
      </w:r>
    </w:p>
    <w:p>
      <w:pPr>
        <w:numPr>
          <w:ilvl w:val="-1"/>
          <w:numId w:val="0"/>
        </w:numPr>
        <w:ind w:left="0" w:firstLine="0"/>
      </w:pPr>
      <w:r>
        <w:rPr>
          <w:rFonts w:hint="eastAsia"/>
          <w:lang w:val="en-US" w:eastAsia="zh-CN"/>
        </w:rPr>
        <w:t>3、</w:t>
      </w:r>
      <w:r>
        <w:rPr>
          <w:rFonts w:hint="eastAsia"/>
        </w:rPr>
        <w:t>市局角色信息添加完成后，可在市局角色下添加企业角色。省厅角色在权限管理-组织管理，找到想要添加企业角色的市局角色，添加企业信息。添加完企业信息后，需到用户管理，找到对应企业名称后，点击企业名称，为之配置账号密码等信息(见图4)。此时需注意，所属部门一定具体选择到对应企业角色，角色选择盐业企业注册角色，状态选择有效(若选择无效，则该企业账号无法登录)。</w:t>
      </w:r>
    </w:p>
    <w:p>
      <w:pPr>
        <w:ind w:left="360"/>
      </w:pPr>
      <w:r>
        <w:drawing>
          <wp:inline distT="0" distB="0" distL="0" distR="0">
            <wp:extent cx="5270500" cy="2476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 xml:space="preserve">图1 </w:t>
      </w:r>
      <w:r>
        <w:drawing>
          <wp:inline distT="0" distB="0" distL="0" distR="0">
            <wp:extent cx="5270500" cy="24765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图2</w:t>
      </w:r>
    </w:p>
    <w:p>
      <w:pPr>
        <w:ind w:left="360"/>
      </w:pPr>
      <w:r>
        <w:drawing>
          <wp:inline distT="0" distB="0" distL="0" distR="0">
            <wp:extent cx="5270500" cy="24765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图3</w:t>
      </w:r>
    </w:p>
    <w:p>
      <w:pPr>
        <w:ind w:left="360"/>
      </w:pPr>
      <w:r>
        <w:drawing>
          <wp:inline distT="0" distB="0" distL="0" distR="0">
            <wp:extent cx="5270500" cy="2476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图4</w:t>
      </w:r>
    </w:p>
    <w:p>
      <w:pPr>
        <w:ind w:left="360"/>
      </w:pPr>
      <w:r>
        <w:drawing>
          <wp:inline distT="0" distB="0" distL="0" distR="0">
            <wp:extent cx="5270500" cy="24765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图5</w:t>
      </w:r>
    </w:p>
    <w:p>
      <w:pPr>
        <w:numPr>
          <w:ilvl w:val="-1"/>
          <w:numId w:val="0"/>
        </w:numPr>
        <w:ind w:left="0" w:firstLine="0"/>
      </w:pPr>
      <w:r>
        <w:rPr>
          <w:rFonts w:hint="eastAsia"/>
          <w:lang w:val="en-US" w:eastAsia="zh-CN"/>
        </w:rPr>
        <w:t>4、</w:t>
      </w:r>
      <w:r>
        <w:rPr>
          <w:rFonts w:hint="eastAsia"/>
        </w:rPr>
        <w:t>企业账号新增成功后，企业可拿省厅角色注册下发的企业账号去智慧工信平台进行登录。并完成进一步注册。登录新创建的企业账号后，点击盐行业企业管理-企业管理-申报，企业填完基本信息后点击注册，就会看到申报成功的企业信息，不过此时企业状态为待审核(见图5)，想要完全注册成功，需省厅角色进行审核(见图6)，通过备案后，企业重新登录申报的账号，就可以看到申报菜单(见图7)，此时代表通过了审核，企业账号完全注册成功。</w:t>
      </w:r>
    </w:p>
    <w:p>
      <w:pPr>
        <w:ind w:left="360"/>
      </w:pPr>
      <w:r>
        <w:drawing>
          <wp:inline distT="0" distB="0" distL="0" distR="0">
            <wp:extent cx="5270500" cy="2476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图1</w:t>
      </w:r>
    </w:p>
    <w:p>
      <w:pPr>
        <w:ind w:left="360"/>
      </w:pPr>
      <w:r>
        <w:drawing>
          <wp:inline distT="0" distB="0" distL="0" distR="0">
            <wp:extent cx="5270500" cy="24765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图2</w:t>
      </w:r>
    </w:p>
    <w:p>
      <w:pPr>
        <w:ind w:left="360"/>
      </w:pPr>
      <w:r>
        <w:drawing>
          <wp:inline distT="0" distB="0" distL="0" distR="0">
            <wp:extent cx="5270500" cy="24765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图3</w:t>
      </w:r>
    </w:p>
    <w:p>
      <w:pPr>
        <w:ind w:left="360"/>
      </w:pPr>
      <w:r>
        <w:drawing>
          <wp:inline distT="0" distB="0" distL="0" distR="0">
            <wp:extent cx="5270500" cy="24765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图4</w:t>
      </w:r>
    </w:p>
    <w:p>
      <w:pPr>
        <w:ind w:left="360"/>
      </w:pPr>
      <w:r>
        <w:drawing>
          <wp:inline distT="0" distB="0" distL="0" distR="0">
            <wp:extent cx="5270500" cy="24765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图5</w:t>
      </w:r>
    </w:p>
    <w:p>
      <w:pPr>
        <w:ind w:left="360"/>
      </w:pPr>
      <w:r>
        <w:drawing>
          <wp:inline distT="0" distB="0" distL="0" distR="0">
            <wp:extent cx="5270500" cy="24765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图6</w:t>
      </w:r>
    </w:p>
    <w:p>
      <w:pPr>
        <w:ind w:left="360"/>
      </w:pPr>
      <w:r>
        <w:drawing>
          <wp:inline distT="0" distB="0" distL="0" distR="0">
            <wp:extent cx="5270500" cy="24765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420"/>
        <w:jc w:val="center"/>
      </w:pPr>
      <w:r>
        <w:rPr>
          <w:rFonts w:hint="eastAsia"/>
        </w:rPr>
        <w:t>图7</w:t>
      </w:r>
    </w:p>
    <w:p>
      <w:pPr>
        <w:numPr>
          <w:ilvl w:val="-1"/>
          <w:numId w:val="0"/>
        </w:numPr>
        <w:ind w:left="0" w:firstLine="0"/>
      </w:pPr>
      <w:r>
        <w:rPr>
          <w:rFonts w:hint="eastAsia"/>
          <w:lang w:val="en-US" w:eastAsia="zh-CN"/>
        </w:rPr>
        <w:t>5、</w:t>
      </w:r>
      <w:r>
        <w:rPr>
          <w:rFonts w:hint="eastAsia"/>
        </w:rPr>
        <w:t>想要对市局角色或企业角色进行删除时，省厅角色一定要先到【权限管理】-【用户管理】把想要删除的市局或企业进行删除(见图1)，再到【组织管理】中把想要删除的部门信息进行删除(见图2)。顺序一定不要颠倒！</w:t>
      </w:r>
    </w:p>
    <w:p>
      <w:pPr>
        <w:ind w:left="360"/>
      </w:pPr>
      <w:r>
        <w:drawing>
          <wp:inline distT="0" distB="0" distL="0" distR="0">
            <wp:extent cx="5270500" cy="24765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360"/>
        <w:jc w:val="center"/>
      </w:pPr>
      <w:r>
        <w:rPr>
          <w:rFonts w:hint="eastAsia"/>
        </w:rPr>
        <w:t>图1</w:t>
      </w:r>
    </w:p>
    <w:p>
      <w:pPr>
        <w:ind w:left="360"/>
      </w:pPr>
      <w:r>
        <w:drawing>
          <wp:inline distT="0" distB="0" distL="0" distR="0">
            <wp:extent cx="5270500" cy="24765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270500" cy="2476500"/>
                    </a:xfrm>
                    <a:prstGeom prst="rect">
                      <a:avLst/>
                    </a:prstGeom>
                    <a:noFill/>
                    <a:ln>
                      <a:noFill/>
                    </a:ln>
                  </pic:spPr>
                </pic:pic>
              </a:graphicData>
            </a:graphic>
          </wp:inline>
        </w:drawing>
      </w:r>
    </w:p>
    <w:p>
      <w:pPr>
        <w:ind w:left="360"/>
        <w:jc w:val="center"/>
      </w:pPr>
      <w:r>
        <w:rPr>
          <w:rFonts w:hint="eastAsia"/>
        </w:rPr>
        <w:t>图2</w:t>
      </w:r>
    </w:p>
    <w:p>
      <w:pPr>
        <w:pStyle w:val="4"/>
        <w:rPr>
          <w:rFonts w:hint="eastAsia" w:ascii="宋体" w:hAnsi="宋体" w:eastAsia="宋体" w:cs="宋体"/>
        </w:rPr>
      </w:pPr>
      <w:r>
        <w:rPr>
          <w:rFonts w:hint="eastAsia" w:ascii="宋体" w:hAnsi="宋体" w:eastAsia="宋体" w:cs="宋体"/>
        </w:rPr>
        <w:t>省厅角色</w:t>
      </w:r>
      <w:r>
        <w:rPr>
          <w:rFonts w:hint="eastAsia" w:ascii="宋体" w:hAnsi="宋体" w:cs="宋体"/>
          <w:lang w:val="en-US" w:eastAsia="zh-CN"/>
        </w:rPr>
        <w:t>用户</w:t>
      </w:r>
      <w:r>
        <w:rPr>
          <w:rFonts w:hint="eastAsia" w:ascii="宋体" w:hAnsi="宋体" w:eastAsia="宋体" w:cs="宋体"/>
        </w:rPr>
        <w:t>管理</w:t>
      </w:r>
    </w:p>
    <w:p>
      <w:pPr>
        <w:numPr>
          <w:ilvl w:val="0"/>
          <w:numId w:val="0"/>
        </w:numPr>
        <w:ind w:leftChars="0"/>
        <w:rPr>
          <w:rFonts w:hint="default" w:ascii="宋体" w:hAnsi="宋体" w:eastAsia="宋体" w:cs="宋体"/>
          <w:lang w:val="en-US" w:eastAsia="zh-CN"/>
        </w:rPr>
      </w:pPr>
      <w:r>
        <w:rPr>
          <w:rFonts w:hint="eastAsia" w:ascii="宋体" w:hAnsi="宋体" w:cs="宋体"/>
          <w:lang w:val="en-US" w:eastAsia="zh-CN"/>
        </w:rPr>
        <w:t>省厅角色可对市局、企业角色的账户信息进行管理，若市局或企业角色忘记所设密码，可联系省工信厅，核实身份后，后台管理员使用省厅角色账号对市局或企业角色密码进行重置修改，以下为具体流程：</w:t>
      </w:r>
    </w:p>
    <w:p>
      <w:pPr>
        <w:ind w:left="0"/>
        <w:rPr>
          <w:rFonts w:hint="default"/>
          <w:lang w:val="en-US" w:eastAsia="zh-CN"/>
        </w:rPr>
      </w:pPr>
      <w:r>
        <w:rPr>
          <w:rFonts w:hint="eastAsia"/>
          <w:lang w:val="en-US" w:eastAsia="zh-CN"/>
        </w:rPr>
        <w:t>1、</w:t>
      </w:r>
      <w:r>
        <w:rPr>
          <w:rFonts w:hint="eastAsia" w:ascii="Times New Roman" w:eastAsia="宋体"/>
          <w:lang w:val="en-US" w:eastAsia="zh-CN"/>
        </w:rPr>
        <w:t>登录省厅角色后，点击权限管理-用户管理，进入用户管理界面</w:t>
      </w:r>
    </w:p>
    <w:p>
      <w:pPr>
        <w:ind w:left="360"/>
        <w:rPr>
          <w:rFonts w:hint="default"/>
          <w:lang w:val="en-US" w:eastAsia="zh-CN"/>
        </w:rPr>
      </w:pPr>
      <w:r>
        <w:rPr>
          <w:rFonts w:hint="default"/>
          <w:lang w:val="en-US" w:eastAsia="zh-CN"/>
        </w:rPr>
        <w:drawing>
          <wp:inline distT="0" distB="0" distL="114300" distR="114300">
            <wp:extent cx="5266690" cy="2477135"/>
            <wp:effectExtent l="0" t="0" r="6350" b="6985"/>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pic:cNvPicPr>
                      <a:picLocks noChangeAspect="1"/>
                    </pic:cNvPicPr>
                  </pic:nvPicPr>
                  <pic:blipFill>
                    <a:blip r:embed="rId73"/>
                    <a:stretch>
                      <a:fillRect/>
                    </a:stretch>
                  </pic:blipFill>
                  <pic:spPr>
                    <a:xfrm>
                      <a:off x="0" y="0"/>
                      <a:ext cx="5266690" cy="2477135"/>
                    </a:xfrm>
                    <a:prstGeom prst="rect">
                      <a:avLst/>
                    </a:prstGeom>
                    <a:noFill/>
                    <a:ln>
                      <a:noFill/>
                    </a:ln>
                  </pic:spPr>
                </pic:pic>
              </a:graphicData>
            </a:graphic>
          </wp:inline>
        </w:drawing>
      </w:r>
    </w:p>
    <w:p>
      <w:pPr>
        <w:ind w:left="360"/>
        <w:jc w:val="center"/>
        <w:rPr>
          <w:rFonts w:hint="eastAsia"/>
          <w:lang w:val="en-US" w:eastAsia="zh-CN"/>
        </w:rPr>
      </w:pPr>
      <w:r>
        <w:rPr>
          <w:rFonts w:hint="eastAsia" w:ascii="Times New Roman" w:eastAsia="宋体"/>
          <w:lang w:val="en-US" w:eastAsia="zh-CN"/>
        </w:rPr>
        <w:t>图1</w:t>
      </w:r>
    </w:p>
    <w:p>
      <w:pPr>
        <w:numPr>
          <w:ilvl w:val="-1"/>
          <w:numId w:val="0"/>
        </w:numPr>
        <w:ind w:left="0"/>
        <w:jc w:val="both"/>
        <w:rPr>
          <w:rFonts w:hint="eastAsia"/>
          <w:lang w:val="en-US" w:eastAsia="zh-CN"/>
        </w:rPr>
      </w:pPr>
      <w:r>
        <w:rPr>
          <w:rFonts w:hint="eastAsia"/>
          <w:lang w:val="en-US" w:eastAsia="zh-CN"/>
        </w:rPr>
        <w:t>2、</w:t>
      </w:r>
      <w:r>
        <w:rPr>
          <w:rFonts w:hint="eastAsia" w:ascii="Times New Roman" w:eastAsia="宋体"/>
          <w:lang w:val="en-US" w:eastAsia="zh-CN"/>
        </w:rPr>
        <w:t>找到需要进行密码重置的角色，并点击它</w:t>
      </w:r>
    </w:p>
    <w:p>
      <w:pPr>
        <w:numPr>
          <w:ilvl w:val="0"/>
          <w:numId w:val="0"/>
        </w:numPr>
        <w:ind w:firstLine="420" w:firstLineChars="0"/>
        <w:jc w:val="both"/>
        <w:rPr>
          <w:rFonts w:hint="eastAsia"/>
          <w:lang w:val="en-US" w:eastAsia="zh-CN"/>
        </w:rPr>
      </w:pPr>
      <w:r>
        <w:rPr>
          <w:rFonts w:hint="eastAsia" w:ascii="Times New Roman" w:eastAsia="宋体"/>
          <w:lang w:val="en-US" w:eastAsia="zh-CN"/>
        </w:rPr>
        <w:drawing>
          <wp:inline distT="0" distB="0" distL="114300" distR="114300">
            <wp:extent cx="5266690" cy="2477135"/>
            <wp:effectExtent l="0" t="0" r="6350" b="6985"/>
            <wp:docPr id="10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5"/>
                    <pic:cNvPicPr>
                      <a:picLocks noChangeAspect="1"/>
                    </pic:cNvPicPr>
                  </pic:nvPicPr>
                  <pic:blipFill>
                    <a:blip r:embed="rId74"/>
                    <a:stretch>
                      <a:fillRect/>
                    </a:stretch>
                  </pic:blipFill>
                  <pic:spPr>
                    <a:xfrm>
                      <a:off x="0" y="0"/>
                      <a:ext cx="5266690" cy="2477135"/>
                    </a:xfrm>
                    <a:prstGeom prst="rect">
                      <a:avLst/>
                    </a:prstGeom>
                    <a:noFill/>
                    <a:ln>
                      <a:noFill/>
                    </a:ln>
                  </pic:spPr>
                </pic:pic>
              </a:graphicData>
            </a:graphic>
          </wp:inline>
        </w:drawing>
      </w:r>
    </w:p>
    <w:p>
      <w:pPr>
        <w:numPr>
          <w:ilvl w:val="0"/>
          <w:numId w:val="0"/>
        </w:numPr>
        <w:ind w:firstLine="420" w:firstLineChars="0"/>
        <w:jc w:val="center"/>
        <w:rPr>
          <w:rFonts w:hint="default"/>
          <w:lang w:val="en-US" w:eastAsia="zh-CN"/>
        </w:rPr>
      </w:pPr>
      <w:r>
        <w:rPr>
          <w:rFonts w:hint="eastAsia" w:ascii="Times New Roman" w:eastAsia="宋体"/>
          <w:lang w:val="en-US" w:eastAsia="zh-CN"/>
        </w:rPr>
        <w:t>图2</w:t>
      </w:r>
    </w:p>
    <w:p>
      <w:pPr>
        <w:numPr>
          <w:ilvl w:val="-1"/>
          <w:numId w:val="0"/>
        </w:numPr>
        <w:ind w:left="0"/>
        <w:jc w:val="both"/>
        <w:rPr>
          <w:rFonts w:hint="default"/>
          <w:lang w:val="en-US" w:eastAsia="zh-CN"/>
        </w:rPr>
      </w:pPr>
      <w:r>
        <w:rPr>
          <w:rFonts w:hint="eastAsia"/>
          <w:lang w:val="en-US" w:eastAsia="zh-CN"/>
        </w:rPr>
        <w:t>3、</w:t>
      </w:r>
      <w:r>
        <w:rPr>
          <w:rFonts w:hint="eastAsia" w:ascii="Times New Roman" w:eastAsia="宋体"/>
          <w:lang w:val="en-US" w:eastAsia="zh-CN"/>
        </w:rPr>
        <w:t>找到具体的角色后，点击其对应的编辑按钮，进入编辑界面</w:t>
      </w:r>
    </w:p>
    <w:p>
      <w:pPr>
        <w:numPr>
          <w:ilvl w:val="0"/>
          <w:numId w:val="0"/>
        </w:numPr>
        <w:ind w:firstLine="420" w:firstLineChars="0"/>
        <w:jc w:val="both"/>
        <w:rPr>
          <w:rFonts w:hint="default"/>
          <w:lang w:val="en-US" w:eastAsia="zh-CN"/>
        </w:rPr>
      </w:pPr>
      <w:r>
        <w:rPr>
          <w:rFonts w:hint="default"/>
          <w:lang w:val="en-US" w:eastAsia="zh-CN"/>
        </w:rPr>
        <w:drawing>
          <wp:inline distT="0" distB="0" distL="114300" distR="114300">
            <wp:extent cx="5266690" cy="2477135"/>
            <wp:effectExtent l="0" t="0" r="6350" b="6985"/>
            <wp:docPr id="10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6"/>
                    <pic:cNvPicPr>
                      <a:picLocks noChangeAspect="1"/>
                    </pic:cNvPicPr>
                  </pic:nvPicPr>
                  <pic:blipFill>
                    <a:blip r:embed="rId75"/>
                    <a:stretch>
                      <a:fillRect/>
                    </a:stretch>
                  </pic:blipFill>
                  <pic:spPr>
                    <a:xfrm>
                      <a:off x="0" y="0"/>
                      <a:ext cx="5266690" cy="2477135"/>
                    </a:xfrm>
                    <a:prstGeom prst="rect">
                      <a:avLst/>
                    </a:prstGeom>
                    <a:noFill/>
                    <a:ln>
                      <a:noFill/>
                    </a:ln>
                  </pic:spPr>
                </pic:pic>
              </a:graphicData>
            </a:graphic>
          </wp:inline>
        </w:drawing>
      </w:r>
    </w:p>
    <w:p>
      <w:pPr>
        <w:numPr>
          <w:ilvl w:val="0"/>
          <w:numId w:val="0"/>
        </w:numPr>
        <w:ind w:firstLine="420" w:firstLineChars="0"/>
        <w:jc w:val="center"/>
        <w:rPr>
          <w:rFonts w:hint="eastAsia"/>
          <w:lang w:val="en-US" w:eastAsia="zh-CN"/>
        </w:rPr>
      </w:pPr>
      <w:r>
        <w:rPr>
          <w:rFonts w:hint="eastAsia" w:ascii="Times New Roman" w:eastAsia="宋体"/>
          <w:lang w:val="en-US" w:eastAsia="zh-CN"/>
        </w:rPr>
        <w:t>图3</w:t>
      </w:r>
    </w:p>
    <w:p>
      <w:pPr>
        <w:numPr>
          <w:ilvl w:val="0"/>
          <w:numId w:val="0"/>
        </w:numPr>
        <w:ind w:firstLine="420" w:firstLineChars="0"/>
        <w:jc w:val="both"/>
        <w:rPr>
          <w:rFonts w:hint="default"/>
          <w:lang w:val="en-US" w:eastAsia="zh-CN"/>
        </w:rPr>
      </w:pPr>
      <w:r>
        <w:rPr>
          <w:rFonts w:hint="default"/>
          <w:lang w:val="en-US" w:eastAsia="zh-CN"/>
        </w:rPr>
        <w:drawing>
          <wp:inline distT="0" distB="0" distL="114300" distR="114300">
            <wp:extent cx="5266690" cy="2477135"/>
            <wp:effectExtent l="0" t="0" r="6350" b="6985"/>
            <wp:docPr id="10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7"/>
                    <pic:cNvPicPr>
                      <a:picLocks noChangeAspect="1"/>
                    </pic:cNvPicPr>
                  </pic:nvPicPr>
                  <pic:blipFill>
                    <a:blip r:embed="rId76"/>
                    <a:stretch>
                      <a:fillRect/>
                    </a:stretch>
                  </pic:blipFill>
                  <pic:spPr>
                    <a:xfrm>
                      <a:off x="0" y="0"/>
                      <a:ext cx="5266690" cy="2477135"/>
                    </a:xfrm>
                    <a:prstGeom prst="rect">
                      <a:avLst/>
                    </a:prstGeom>
                    <a:noFill/>
                    <a:ln>
                      <a:noFill/>
                    </a:ln>
                  </pic:spPr>
                </pic:pic>
              </a:graphicData>
            </a:graphic>
          </wp:inline>
        </w:drawing>
      </w:r>
    </w:p>
    <w:p>
      <w:pPr>
        <w:numPr>
          <w:ilvl w:val="0"/>
          <w:numId w:val="0"/>
        </w:numPr>
        <w:ind w:firstLine="420" w:firstLineChars="0"/>
        <w:jc w:val="center"/>
        <w:rPr>
          <w:rFonts w:hint="default"/>
          <w:lang w:val="en-US" w:eastAsia="zh-CN"/>
        </w:rPr>
      </w:pPr>
      <w:r>
        <w:rPr>
          <w:rFonts w:hint="eastAsia" w:ascii="Times New Roman" w:eastAsia="宋体"/>
          <w:lang w:val="en-US" w:eastAsia="zh-CN"/>
        </w:rPr>
        <w:t>图4</w:t>
      </w:r>
    </w:p>
    <w:p>
      <w:pPr>
        <w:numPr>
          <w:ilvl w:val="-1"/>
          <w:numId w:val="0"/>
        </w:numPr>
        <w:ind w:left="0"/>
        <w:jc w:val="both"/>
        <w:rPr>
          <w:rFonts w:hint="default"/>
          <w:lang w:val="en-US" w:eastAsia="zh-CN"/>
        </w:rPr>
      </w:pPr>
      <w:r>
        <w:rPr>
          <w:rFonts w:hint="eastAsia"/>
          <w:lang w:val="en-US" w:eastAsia="zh-CN"/>
        </w:rPr>
        <w:t>4、</w:t>
      </w:r>
      <w:r>
        <w:rPr>
          <w:rFonts w:hint="eastAsia" w:ascii="Times New Roman" w:eastAsia="宋体"/>
          <w:lang w:val="en-US" w:eastAsia="zh-CN"/>
        </w:rPr>
        <w:t>输入新密码，点击修改。至此密码修改完成。</w:t>
      </w:r>
    </w:p>
    <w:p>
      <w:pPr>
        <w:numPr>
          <w:ilvl w:val="0"/>
          <w:numId w:val="0"/>
        </w:numPr>
        <w:jc w:val="both"/>
        <w:rPr>
          <w:rFonts w:hint="default"/>
          <w:lang w:val="en-US" w:eastAsia="zh-CN"/>
        </w:rPr>
      </w:pPr>
      <w:r>
        <w:rPr>
          <w:rFonts w:hint="default"/>
          <w:lang w:val="en-US" w:eastAsia="zh-CN"/>
        </w:rPr>
        <w:drawing>
          <wp:inline distT="0" distB="0" distL="114300" distR="114300">
            <wp:extent cx="5266690" cy="2477135"/>
            <wp:effectExtent l="0" t="0" r="6350" b="6985"/>
            <wp:docPr id="10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8"/>
                    <pic:cNvPicPr>
                      <a:picLocks noChangeAspect="1"/>
                    </pic:cNvPicPr>
                  </pic:nvPicPr>
                  <pic:blipFill>
                    <a:blip r:embed="rId77"/>
                    <a:stretch>
                      <a:fillRect/>
                    </a:stretch>
                  </pic:blipFill>
                  <pic:spPr>
                    <a:xfrm>
                      <a:off x="0" y="0"/>
                      <a:ext cx="5266690" cy="2477135"/>
                    </a:xfrm>
                    <a:prstGeom prst="rect">
                      <a:avLst/>
                    </a:prstGeom>
                    <a:noFill/>
                    <a:ln>
                      <a:noFill/>
                    </a:ln>
                  </pic:spPr>
                </pic:pic>
              </a:graphicData>
            </a:graphic>
          </wp:inline>
        </w:drawing>
      </w:r>
    </w:p>
    <w:p>
      <w:pPr>
        <w:numPr>
          <w:ilvl w:val="0"/>
          <w:numId w:val="0"/>
        </w:numPr>
        <w:jc w:val="center"/>
        <w:rPr>
          <w:rFonts w:hint="default"/>
          <w:lang w:val="en-US" w:eastAsia="zh-CN"/>
        </w:rPr>
      </w:pPr>
      <w:r>
        <w:rPr>
          <w:rFonts w:hint="eastAsia" w:ascii="Times New Roman" w:eastAsia="宋体"/>
          <w:lang w:val="en-US" w:eastAsia="zh-CN"/>
        </w:rPr>
        <w:t>图5</w:t>
      </w:r>
    </w:p>
    <w:p/>
    <w:p>
      <w:pPr>
        <w:pStyle w:val="2"/>
        <w:rPr>
          <w:rFonts w:hint="eastAsia"/>
        </w:rPr>
      </w:pPr>
      <w:bookmarkStart w:id="106" w:name="_Toc12340"/>
      <w:bookmarkStart w:id="107" w:name="_Toc30486"/>
      <w:bookmarkStart w:id="108" w:name="_Toc11908"/>
      <w:bookmarkStart w:id="109" w:name="_Toc9999"/>
      <w:bookmarkStart w:id="110" w:name="_Toc27050"/>
      <w:bookmarkStart w:id="111" w:name="_Toc3488"/>
      <w:bookmarkStart w:id="112" w:name="_Toc12209"/>
      <w:bookmarkStart w:id="113" w:name="_Toc18889"/>
      <w:bookmarkStart w:id="114" w:name="_Toc13606"/>
      <w:r>
        <w:rPr>
          <w:rFonts w:hint="eastAsia"/>
        </w:rPr>
        <w:t>附件：</w:t>
      </w:r>
      <w:bookmarkEnd w:id="106"/>
      <w:bookmarkEnd w:id="107"/>
      <w:bookmarkEnd w:id="108"/>
      <w:bookmarkEnd w:id="109"/>
      <w:bookmarkEnd w:id="110"/>
      <w:bookmarkEnd w:id="111"/>
    </w:p>
    <w:p>
      <w:pPr>
        <w:pStyle w:val="3"/>
        <w:numPr>
          <w:ilvl w:val="-1"/>
          <w:numId w:val="0"/>
        </w:numPr>
        <w:ind w:left="0" w:firstLine="0"/>
        <w:rPr>
          <w:rFonts w:hint="default"/>
          <w:lang w:val="en-US" w:eastAsia="zh-CN"/>
        </w:rPr>
      </w:pPr>
      <w:bookmarkStart w:id="115" w:name="_Toc16958"/>
      <w:bookmarkStart w:id="116" w:name="_Toc12017"/>
      <w:bookmarkStart w:id="117" w:name="_Toc29948"/>
      <w:bookmarkStart w:id="118" w:name="_Toc28216"/>
      <w:bookmarkStart w:id="119" w:name="_Toc10972"/>
      <w:bookmarkStart w:id="120" w:name="_Toc5657"/>
      <w:r>
        <w:rPr>
          <w:rFonts w:hint="default"/>
          <w:lang w:val="en-US" w:eastAsia="zh-CN"/>
        </w:rPr>
        <w:t>附件1</w:t>
      </w:r>
      <w:bookmarkEnd w:id="115"/>
      <w:bookmarkEnd w:id="116"/>
      <w:r>
        <w:rPr>
          <w:rFonts w:hint="eastAsia"/>
          <w:lang w:val="en-US" w:eastAsia="zh-CN"/>
        </w:rPr>
        <w:t>：</w:t>
      </w:r>
      <w:r>
        <w:rPr>
          <w:rFonts w:hint="eastAsia"/>
        </w:rPr>
        <w:t>操作说明图</w:t>
      </w:r>
      <w:bookmarkEnd w:id="117"/>
      <w:bookmarkEnd w:id="118"/>
      <w:bookmarkEnd w:id="119"/>
      <w:bookmarkEnd w:id="120"/>
    </w:p>
    <w:p>
      <w:pPr>
        <w:ind w:firstLine="420"/>
        <w:jc w:val="center"/>
        <w:rPr>
          <w:rFonts w:hint="eastAsia" w:ascii="方正小标宋简体" w:hAnsi="方正小标宋简体" w:eastAsia="方正小标宋简体" w:cs="方正小标宋简体"/>
        </w:rPr>
      </w:pPr>
      <w:bookmarkStart w:id="121" w:name="_Toc10857"/>
      <w:bookmarkStart w:id="122" w:name="_Toc29660"/>
      <w:r>
        <w:rPr>
          <w:rFonts w:hint="eastAsia" w:ascii="方正小标宋简体" w:hAnsi="方正小标宋简体" w:eastAsia="方正小标宋简体" w:cs="方正小标宋简体"/>
        </w:rPr>
        <w:t>操作说明图</w:t>
      </w:r>
      <w:bookmarkEnd w:id="112"/>
      <w:bookmarkEnd w:id="113"/>
      <w:bookmarkEnd w:id="114"/>
      <w:bookmarkEnd w:id="121"/>
      <w:bookmarkEnd w:id="122"/>
    </w:p>
    <w:p>
      <w:r>
        <w:drawing>
          <wp:inline distT="0" distB="0" distL="0" distR="0">
            <wp:extent cx="5532120" cy="31242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8"/>
                    <a:stretch>
                      <a:fillRect/>
                    </a:stretch>
                  </pic:blipFill>
                  <pic:spPr>
                    <a:xfrm>
                      <a:off x="0" y="0"/>
                      <a:ext cx="5536527" cy="3126619"/>
                    </a:xfrm>
                    <a:prstGeom prst="rect">
                      <a:avLst/>
                    </a:prstGeom>
                  </pic:spPr>
                </pic:pic>
              </a:graphicData>
            </a:graphic>
          </wp:inline>
        </w:drawing>
      </w:r>
    </w:p>
    <w:p>
      <w:pPr>
        <w:jc w:val="center"/>
        <w:rPr>
          <w:b/>
          <w:bCs/>
        </w:rPr>
      </w:pPr>
      <w:r>
        <w:rPr>
          <w:rFonts w:hint="eastAsia"/>
          <w:b/>
          <w:bCs/>
        </w:rPr>
        <w:t>附图1</w:t>
      </w:r>
      <w:r>
        <w:rPr>
          <w:b/>
          <w:bCs/>
        </w:rPr>
        <w:t xml:space="preserve"> </w:t>
      </w:r>
      <w:r>
        <w:rPr>
          <w:rFonts w:hint="eastAsia"/>
          <w:b/>
          <w:bCs/>
        </w:rPr>
        <w:t>企业角色操作说明</w:t>
      </w:r>
    </w:p>
    <w:p>
      <w:pPr>
        <w:rPr>
          <w:b/>
          <w:bCs/>
        </w:rPr>
      </w:pPr>
    </w:p>
    <w:p>
      <w:pPr>
        <w:rPr>
          <w:b/>
          <w:bCs/>
        </w:rPr>
      </w:pPr>
      <w:r>
        <w:drawing>
          <wp:inline distT="0" distB="0" distL="0" distR="0">
            <wp:extent cx="5278120" cy="296545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9"/>
                    <a:stretch>
                      <a:fillRect/>
                    </a:stretch>
                  </pic:blipFill>
                  <pic:spPr>
                    <a:xfrm>
                      <a:off x="0" y="0"/>
                      <a:ext cx="5278120" cy="2965450"/>
                    </a:xfrm>
                    <a:prstGeom prst="rect">
                      <a:avLst/>
                    </a:prstGeom>
                  </pic:spPr>
                </pic:pic>
              </a:graphicData>
            </a:graphic>
          </wp:inline>
        </w:drawing>
      </w:r>
    </w:p>
    <w:p>
      <w:pPr>
        <w:jc w:val="center"/>
        <w:rPr>
          <w:b/>
          <w:bCs/>
        </w:rPr>
      </w:pPr>
      <w:r>
        <w:rPr>
          <w:rFonts w:hint="eastAsia"/>
          <w:b/>
          <w:bCs/>
        </w:rPr>
        <w:t>附图2</w:t>
      </w:r>
      <w:r>
        <w:rPr>
          <w:b/>
          <w:bCs/>
        </w:rPr>
        <w:t xml:space="preserve"> </w:t>
      </w:r>
      <w:r>
        <w:rPr>
          <w:rFonts w:hint="eastAsia"/>
          <w:b/>
          <w:bCs/>
        </w:rPr>
        <w:t>市局角色操作说明</w:t>
      </w:r>
    </w:p>
    <w:p>
      <w:pPr>
        <w:rPr>
          <w:b/>
          <w:bCs/>
        </w:rPr>
      </w:pPr>
    </w:p>
    <w:p>
      <w:pPr>
        <w:rPr>
          <w:b/>
          <w:bCs/>
        </w:rPr>
      </w:pPr>
      <w:r>
        <w:drawing>
          <wp:inline distT="0" distB="0" distL="0" distR="0">
            <wp:extent cx="5278120" cy="321310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80"/>
                    <a:stretch>
                      <a:fillRect/>
                    </a:stretch>
                  </pic:blipFill>
                  <pic:spPr>
                    <a:xfrm>
                      <a:off x="0" y="0"/>
                      <a:ext cx="5278120" cy="3213100"/>
                    </a:xfrm>
                    <a:prstGeom prst="rect">
                      <a:avLst/>
                    </a:prstGeom>
                  </pic:spPr>
                </pic:pic>
              </a:graphicData>
            </a:graphic>
          </wp:inline>
        </w:drawing>
      </w:r>
    </w:p>
    <w:p>
      <w:pPr>
        <w:jc w:val="center"/>
        <w:rPr>
          <w:rFonts w:hint="eastAsia"/>
          <w:b/>
          <w:bCs/>
        </w:rPr>
      </w:pPr>
      <w:r>
        <w:rPr>
          <w:rFonts w:hint="eastAsia"/>
          <w:b/>
          <w:bCs/>
        </w:rPr>
        <w:t>附图3</w:t>
      </w:r>
      <w:r>
        <w:rPr>
          <w:b/>
          <w:bCs/>
        </w:rPr>
        <w:t xml:space="preserve"> </w:t>
      </w:r>
      <w:r>
        <w:rPr>
          <w:rFonts w:hint="eastAsia"/>
          <w:b/>
          <w:bCs/>
        </w:rPr>
        <w:t>省厅角色操作说明</w:t>
      </w:r>
    </w:p>
    <w:p>
      <w:pPr>
        <w:jc w:val="center"/>
        <w:rPr>
          <w:rFonts w:hint="eastAsia"/>
          <w:b/>
          <w:bCs/>
        </w:rPr>
      </w:pPr>
    </w:p>
    <w:p>
      <w:pPr>
        <w:pStyle w:val="3"/>
        <w:numPr>
          <w:ilvl w:val="-1"/>
          <w:numId w:val="0"/>
        </w:numPr>
        <w:ind w:left="0" w:firstLine="0"/>
        <w:rPr>
          <w:rFonts w:hint="default"/>
          <w:b w:val="0"/>
          <w:bCs/>
          <w:lang w:val="en-US" w:eastAsia="zh-CN"/>
        </w:rPr>
      </w:pPr>
      <w:bookmarkStart w:id="123" w:name="_Toc9685"/>
      <w:bookmarkStart w:id="124" w:name="_Toc26765"/>
      <w:bookmarkStart w:id="125" w:name="_Toc14133"/>
      <w:bookmarkStart w:id="126" w:name="_Toc12770"/>
    </w:p>
    <w:p>
      <w:pPr>
        <w:pStyle w:val="3"/>
        <w:numPr>
          <w:ilvl w:val="-1"/>
          <w:numId w:val="0"/>
        </w:numPr>
        <w:ind w:left="0" w:firstLine="0"/>
        <w:rPr>
          <w:rFonts w:hint="default"/>
          <w:b w:val="0"/>
          <w:bCs/>
          <w:lang w:val="en-US" w:eastAsia="zh-CN"/>
        </w:rPr>
      </w:pPr>
      <w:bookmarkStart w:id="127" w:name="_Toc5247"/>
      <w:r>
        <w:rPr>
          <w:rFonts w:hint="default"/>
          <w:b w:val="0"/>
          <w:bCs/>
          <w:lang w:val="en-US" w:eastAsia="zh-CN"/>
        </w:rPr>
        <w:t>附件2</w:t>
      </w:r>
      <w:bookmarkEnd w:id="123"/>
      <w:r>
        <w:rPr>
          <w:rFonts w:hint="eastAsia"/>
          <w:b w:val="0"/>
          <w:bCs/>
          <w:lang w:val="en-US" w:eastAsia="zh-CN"/>
        </w:rPr>
        <w:t>：</w:t>
      </w:r>
      <w:r>
        <w:rPr>
          <w:rFonts w:hint="eastAsia" w:ascii="方正小标宋简体" w:hAnsi="方正小标宋简体" w:eastAsia="方正小标宋简体" w:cs="方正小标宋简体"/>
          <w:b w:val="0"/>
          <w:bCs/>
          <w:szCs w:val="24"/>
          <w:lang w:val="en-US" w:eastAsia="zh-CN"/>
        </w:rPr>
        <w:t>账号（密码）变更申请表</w:t>
      </w:r>
      <w:bookmarkEnd w:id="124"/>
      <w:bookmarkEnd w:id="125"/>
      <w:bookmarkEnd w:id="126"/>
      <w:bookmarkEnd w:id="127"/>
    </w:p>
    <w:p>
      <w:pPr>
        <w:ind w:firstLine="420"/>
        <w:jc w:val="center"/>
        <w:rPr>
          <w:rFonts w:hint="eastAsia" w:ascii="黑体" w:hAnsi="宋体"/>
          <w:szCs w:val="22"/>
          <w:lang w:val="en-US" w:eastAsia="zh-CN"/>
        </w:rPr>
      </w:pPr>
      <w:r>
        <w:rPr>
          <w:rFonts w:hint="eastAsia" w:ascii="方正小标宋简体" w:hAnsi="方正小标宋简体" w:eastAsia="方正小标宋简体" w:cs="方正小标宋简体"/>
          <w:szCs w:val="24"/>
          <w:lang w:val="en-US" w:eastAsia="zh-CN"/>
        </w:rPr>
        <w:t>山东省盐业企业统计系统账号（密码）变更申请表</w:t>
      </w:r>
    </w:p>
    <w:p>
      <w:pPr>
        <w:spacing w:line="360" w:lineRule="auto"/>
        <w:ind w:firstLine="0"/>
        <w:rPr>
          <w:rFonts w:hint="eastAsia" w:ascii="黑体" w:hAnsi="宋体" w:eastAsia="宋体"/>
          <w:szCs w:val="22"/>
        </w:rPr>
      </w:pPr>
      <w:r>
        <w:rPr>
          <w:rFonts w:hint="eastAsia" w:ascii="黑体" w:hAnsi="宋体" w:eastAsia="宋体"/>
          <w:szCs w:val="22"/>
        </w:rPr>
        <w:t>山东省工业和信息化厅：</w:t>
      </w:r>
    </w:p>
    <w:p>
      <w:pPr>
        <w:adjustRightInd/>
        <w:spacing w:line="360" w:lineRule="auto"/>
        <w:ind w:firstLine="420" w:firstLineChars="0"/>
        <w:rPr>
          <w:rFonts w:hint="eastAsia" w:ascii="黑体" w:hAnsi="宋体"/>
          <w:szCs w:val="22"/>
          <w:lang w:val="en-US" w:eastAsia="zh-CN"/>
        </w:rPr>
      </w:pPr>
      <w:r>
        <w:rPr>
          <w:rFonts w:hint="eastAsia" w:ascii="黑体" w:hAnsi="宋体" w:eastAsia="宋体"/>
          <w:szCs w:val="22"/>
        </w:rPr>
        <w:t>我公司为食盐定点</w:t>
      </w:r>
      <w:r>
        <w:rPr>
          <w:rFonts w:hint="eastAsia" w:ascii="黑体" w:hAnsi="宋体" w:eastAsia="宋体"/>
          <w:i w:val="0"/>
          <w:iCs w:val="0"/>
          <w:szCs w:val="22"/>
          <w:u w:val="none"/>
        </w:rPr>
        <w:t>生产</w:t>
      </w:r>
      <w:r>
        <w:rPr>
          <w:rFonts w:hint="eastAsia" w:ascii="黑体" w:hAnsi="宋体"/>
          <w:i w:val="0"/>
          <w:iCs w:val="0"/>
          <w:szCs w:val="22"/>
          <w:u w:val="none"/>
          <w:lang w:eastAsia="zh-CN"/>
        </w:rPr>
        <w:t>企业</w:t>
      </w:r>
      <w:r>
        <w:rPr>
          <w:rFonts w:hint="eastAsia" w:ascii="黑体" w:hAnsi="宋体" w:eastAsia="宋体"/>
          <w:i w:val="0"/>
          <w:iCs w:val="0"/>
          <w:szCs w:val="22"/>
          <w:u w:val="none"/>
        </w:rPr>
        <w:t>/批发</w:t>
      </w:r>
      <w:r>
        <w:rPr>
          <w:rFonts w:hint="eastAsia" w:ascii="黑体" w:hAnsi="宋体" w:eastAsia="宋体"/>
          <w:szCs w:val="22"/>
        </w:rPr>
        <w:t>企业</w:t>
      </w:r>
      <w:r>
        <w:rPr>
          <w:rFonts w:hint="eastAsia" w:ascii="黑体" w:hAnsi="宋体"/>
          <w:szCs w:val="22"/>
          <w:lang w:val="en-US" w:eastAsia="zh-CN"/>
        </w:rPr>
        <w:t>/工业盐生产企业/省外省级食盐定点批发企业</w:t>
      </w:r>
      <w:r>
        <w:rPr>
          <w:rFonts w:hint="eastAsia" w:ascii="黑体" w:hAnsi="宋体" w:eastAsia="宋体"/>
          <w:szCs w:val="22"/>
        </w:rPr>
        <w:t>，因</w:t>
      </w:r>
      <w:r>
        <w:rPr>
          <w:rFonts w:hint="eastAsia" w:ascii="黑体" w:hAnsi="宋体"/>
          <w:szCs w:val="22"/>
          <w:lang w:val="en-US" w:eastAsia="zh-CN"/>
        </w:rPr>
        <w:t>1、</w:t>
      </w:r>
      <w:r>
        <w:rPr>
          <w:rFonts w:hint="eastAsia" w:ascii="黑体" w:hAnsi="宋体"/>
          <w:szCs w:val="22"/>
          <w:lang w:eastAsia="zh-CN"/>
        </w:rPr>
        <w:t>账号（密码）遗忘，现申请账号（密码）找回；</w:t>
      </w:r>
      <w:r>
        <w:rPr>
          <w:rFonts w:hint="eastAsia" w:ascii="黑体" w:hAnsi="宋体"/>
          <w:szCs w:val="22"/>
          <w:lang w:val="en-US" w:eastAsia="zh-CN"/>
        </w:rPr>
        <w:t>2、</w:t>
      </w:r>
      <w:r>
        <w:rPr>
          <w:rFonts w:hint="eastAsia" w:ascii="黑体" w:hAnsi="宋体"/>
          <w:szCs w:val="22"/>
          <w:u w:val="single"/>
          <w:lang w:val="en-US" w:eastAsia="zh-CN"/>
        </w:rPr>
        <w:t>其他变更原因</w:t>
      </w:r>
      <w:r>
        <w:rPr>
          <w:rFonts w:hint="eastAsia" w:ascii="黑体" w:hAnsi="宋体"/>
          <w:szCs w:val="22"/>
          <w:lang w:val="en-US" w:eastAsia="zh-CN"/>
        </w:rPr>
        <w:t>，现申请变更登陆账号。</w:t>
      </w:r>
    </w:p>
    <w:p>
      <w:pPr>
        <w:adjustRightInd/>
        <w:spacing w:line="360" w:lineRule="auto"/>
        <w:ind w:firstLine="420" w:firstLineChars="0"/>
        <w:rPr>
          <w:rFonts w:hint="eastAsia" w:ascii="黑体" w:hAnsi="宋体"/>
          <w:szCs w:val="22"/>
          <w:lang w:val="en-US" w:eastAsia="zh-CN"/>
        </w:rPr>
      </w:pPr>
    </w:p>
    <w:p>
      <w:pPr>
        <w:spacing w:line="600" w:lineRule="exact"/>
        <w:ind w:firstLine="480" w:firstLineChars="200"/>
        <w:rPr>
          <w:rFonts w:hint="eastAsia" w:ascii="仿宋_GB2312" w:eastAsia="仿宋_GB2312" w:hAnsiTheme="majorEastAsia"/>
          <w:lang w:eastAsia="zh-CN"/>
        </w:rPr>
      </w:pPr>
      <w:r>
        <w:rPr>
          <w:rFonts w:hint="eastAsia" w:ascii="仿宋_GB2312" w:eastAsia="仿宋_GB2312" w:hAnsiTheme="majorEastAsia"/>
          <w:lang w:eastAsia="zh-CN"/>
        </w:rPr>
        <w:t>附件：经办人身份证复印件</w:t>
      </w:r>
    </w:p>
    <w:p>
      <w:pPr>
        <w:spacing w:line="600" w:lineRule="exact"/>
        <w:rPr>
          <w:rFonts w:ascii="仿宋_GB2312" w:eastAsia="仿宋_GB2312" w:hAnsiTheme="majorEastAsia"/>
        </w:rPr>
      </w:pPr>
      <w:r>
        <w:rPr>
          <w:rFonts w:hint="eastAsia" w:ascii="仿宋_GB2312" w:eastAsia="仿宋_GB2312" w:hAnsiTheme="majorEastAsia"/>
        </w:rPr>
        <w:t xml:space="preserve">                   </w:t>
      </w:r>
      <w:r>
        <w:rPr>
          <w:rFonts w:ascii="仿宋_GB2312" w:eastAsia="仿宋_GB2312" w:hAnsiTheme="majorEastAsia"/>
        </w:rPr>
        <w:t xml:space="preserve">    </w:t>
      </w:r>
      <w:r>
        <w:rPr>
          <w:rFonts w:hint="eastAsia" w:ascii="仿宋_GB2312" w:eastAsia="仿宋_GB2312" w:hAnsiTheme="majorEastAsia"/>
        </w:rPr>
        <w:t xml:space="preserve">  </w:t>
      </w:r>
      <w:r>
        <w:rPr>
          <w:rFonts w:hint="eastAsia" w:ascii="仿宋_GB2312" w:eastAsia="仿宋_GB2312" w:hAnsiTheme="majorEastAsia"/>
          <w:lang w:val="en-US" w:eastAsia="zh-CN"/>
        </w:rPr>
        <w:t xml:space="preserve">        </w:t>
      </w:r>
      <w:r>
        <w:rPr>
          <w:rFonts w:hint="eastAsia" w:ascii="仿宋_GB2312" w:eastAsia="仿宋_GB2312" w:hAnsiTheme="majorEastAsia"/>
        </w:rPr>
        <w:t xml:space="preserve">    </w:t>
      </w:r>
      <w:r>
        <w:rPr>
          <w:rFonts w:hint="eastAsia" w:ascii="仿宋_GB2312" w:eastAsia="仿宋_GB2312" w:hAnsiTheme="majorEastAsia"/>
          <w:lang w:val="en-US" w:eastAsia="zh-CN"/>
        </w:rPr>
        <w:t xml:space="preserve">   </w:t>
      </w:r>
      <w:r>
        <w:rPr>
          <w:rFonts w:hint="eastAsia" w:ascii="仿宋_GB2312" w:eastAsia="仿宋_GB2312" w:hAnsiTheme="majorEastAsia"/>
        </w:rPr>
        <w:t>XXX企业（</w:t>
      </w:r>
      <w:r>
        <w:rPr>
          <w:rFonts w:hint="eastAsia" w:ascii="仿宋_GB2312" w:eastAsia="仿宋_GB2312" w:hAnsiTheme="majorEastAsia"/>
          <w:lang w:eastAsia="zh-CN"/>
        </w:rPr>
        <w:t>企业</w:t>
      </w:r>
      <w:r>
        <w:rPr>
          <w:rFonts w:hint="eastAsia" w:ascii="仿宋_GB2312" w:eastAsia="仿宋_GB2312" w:hAnsiTheme="majorEastAsia"/>
        </w:rPr>
        <w:t>公章）</w:t>
      </w:r>
    </w:p>
    <w:p>
      <w:pPr>
        <w:spacing w:line="600" w:lineRule="exact"/>
        <w:rPr>
          <w:rFonts w:ascii="仿宋_GB2312" w:eastAsia="仿宋_GB2312" w:hAnsiTheme="majorEastAsia"/>
        </w:rPr>
      </w:pPr>
      <w:r>
        <w:rPr>
          <w:rFonts w:hint="eastAsia" w:ascii="仿宋_GB2312" w:eastAsia="仿宋_GB2312" w:hAnsiTheme="majorEastAsia"/>
        </w:rPr>
        <w:t xml:space="preserve">                             </w:t>
      </w:r>
      <w:r>
        <w:rPr>
          <w:rFonts w:hint="eastAsia" w:ascii="仿宋_GB2312" w:eastAsia="仿宋_GB2312" w:hAnsiTheme="majorEastAsia"/>
          <w:lang w:val="en-US" w:eastAsia="zh-CN"/>
        </w:rPr>
        <w:t xml:space="preserve">             </w:t>
      </w:r>
      <w:r>
        <w:rPr>
          <w:rFonts w:hint="eastAsia" w:ascii="仿宋_GB2312" w:eastAsia="仿宋_GB2312" w:hAnsiTheme="majorEastAsia"/>
        </w:rPr>
        <w:t>XX</w:t>
      </w:r>
      <w:r>
        <w:rPr>
          <w:rFonts w:ascii="仿宋_GB2312" w:eastAsia="仿宋_GB2312" w:hAnsiTheme="majorEastAsia"/>
        </w:rPr>
        <w:t>年</w:t>
      </w:r>
      <w:r>
        <w:rPr>
          <w:rFonts w:hint="eastAsia" w:ascii="仿宋_GB2312" w:eastAsia="仿宋_GB2312" w:hAnsiTheme="majorEastAsia"/>
        </w:rPr>
        <w:t>XX</w:t>
      </w:r>
      <w:r>
        <w:rPr>
          <w:rFonts w:ascii="仿宋_GB2312" w:eastAsia="仿宋_GB2312" w:hAnsiTheme="majorEastAsia"/>
        </w:rPr>
        <w:t>月</w:t>
      </w:r>
      <w:r>
        <w:rPr>
          <w:rFonts w:hint="eastAsia" w:ascii="仿宋_GB2312" w:eastAsia="仿宋_GB2312" w:hAnsiTheme="majorEastAsia"/>
        </w:rPr>
        <w:t>XX</w:t>
      </w:r>
      <w:r>
        <w:rPr>
          <w:rFonts w:ascii="仿宋_GB2312" w:eastAsia="仿宋_GB2312" w:hAnsiTheme="majorEastAsia"/>
        </w:rPr>
        <w:t>日</w:t>
      </w:r>
    </w:p>
    <w:p>
      <w:pPr>
        <w:ind w:firstLine="0"/>
        <w:rPr>
          <w:rFonts w:hint="eastAsia"/>
        </w:rPr>
      </w:pPr>
    </w:p>
    <w:p>
      <w:pPr>
        <w:ind w:firstLine="420"/>
        <w:rPr>
          <w:rFonts w:hint="eastAsia" w:ascii="黑体" w:hAnsi="宋体"/>
          <w:szCs w:val="22"/>
          <w:lang w:val="en-US" w:eastAsia="zh-CN"/>
        </w:rPr>
      </w:pPr>
      <w:r>
        <w:rPr>
          <w:rFonts w:hint="eastAsia" w:ascii="黑体" w:hAnsi="宋体"/>
          <w:szCs w:val="22"/>
        </w:rPr>
        <w:t xml:space="preserve">备注：经办人：___________  </w:t>
      </w:r>
      <w:r>
        <w:rPr>
          <w:rFonts w:hint="eastAsia" w:ascii="黑体" w:hAnsi="宋体" w:eastAsia="宋体"/>
          <w:szCs w:val="22"/>
        </w:rPr>
        <w:t>联系方式：</w:t>
      </w:r>
      <w:r>
        <w:rPr>
          <w:rFonts w:hint="eastAsia" w:ascii="黑体" w:hAnsi="宋体" w:eastAsia="宋体"/>
          <w:szCs w:val="22"/>
          <w:u w:val="none"/>
        </w:rPr>
        <w:t xml:space="preserve">   </w:t>
      </w:r>
      <w:r>
        <w:rPr>
          <w:rFonts w:hint="eastAsia" w:ascii="黑体" w:hAnsi="宋体" w:eastAsia="宋体"/>
          <w:i w:val="0"/>
          <w:iCs w:val="0"/>
          <w:szCs w:val="22"/>
          <w:u w:val="none"/>
        </w:rPr>
        <w:t xml:space="preserve">手机或座机 </w:t>
      </w:r>
    </w:p>
    <w:p>
      <w:pPr>
        <w:jc w:val="left"/>
        <w:rPr>
          <w:rFonts w:hint="eastAsia"/>
          <w:b/>
          <w:bCs/>
          <w:lang w:val="en-US" w:eastAsia="zh-CN"/>
        </w:rPr>
      </w:pPr>
    </w:p>
    <w:sectPr>
      <w:footerReference r:id="rId4" w:type="default"/>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方正小标宋_GBK">
    <w:altName w:val="Arial Unicode MS"/>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script"/>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b/>
        <w:color w:val="993300"/>
      </w:rPr>
    </w:pPr>
    <w:r>
      <w:rPr>
        <w:rStyle w:val="23"/>
      </w:rPr>
      <w:fldChar w:fldCharType="begin"/>
    </w:r>
    <w:r>
      <w:rPr>
        <w:rStyle w:val="23"/>
      </w:rPr>
      <w:instrText xml:space="preserve"> PAGE </w:instrText>
    </w:r>
    <w:r>
      <w:rPr>
        <w:rStyle w:val="23"/>
      </w:rPr>
      <w:fldChar w:fldCharType="separate"/>
    </w:r>
    <w:r>
      <w:rPr>
        <w:rStyle w:val="23"/>
      </w:rPr>
      <w:t>18</w:t>
    </w:r>
    <w:r>
      <w:rPr>
        <w:rStyle w:val="23"/>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both"/>
    </w:pPr>
    <w:r>
      <w:rPr>
        <w:rFonts w:hint="eastAsia"/>
        <w:b/>
        <w:color w:val="5F5F5F"/>
        <w:lang w:val="en-US" w:eastAsia="zh-CN"/>
      </w:rPr>
      <w:t>山东省盐业企业统计系统</w:t>
    </w:r>
    <w:r>
      <w:rPr>
        <w:rFonts w:hint="eastAsia"/>
        <w:b/>
        <w:color w:val="5F5F5F"/>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C03A2"/>
    <w:multiLevelType w:val="multilevel"/>
    <w:tmpl w:val="4D0C03A2"/>
    <w:lvl w:ilvl="0" w:tentative="0">
      <w:start w:val="1"/>
      <w:numFmt w:val="decimal"/>
      <w:pStyle w:val="2"/>
      <w:lvlText w:val="%1."/>
      <w:lvlJc w:val="left"/>
      <w:pPr>
        <w:ind w:left="425" w:hanging="425"/>
      </w:pPr>
    </w:lvl>
    <w:lvl w:ilvl="1" w:tentative="0">
      <w:start w:val="1"/>
      <w:numFmt w:val="decimal"/>
      <w:pStyle w:val="3"/>
      <w:lvlText w:val="%1.%2."/>
      <w:lvlJc w:val="left"/>
      <w:pPr>
        <w:ind w:left="567" w:hanging="567"/>
      </w:pPr>
    </w:lvl>
    <w:lvl w:ilvl="2" w:tentative="0">
      <w:start w:val="1"/>
      <w:numFmt w:val="decimal"/>
      <w:pStyle w:val="4"/>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04"/>
    <w:rsid w:val="00004C65"/>
    <w:rsid w:val="000059F4"/>
    <w:rsid w:val="00006E46"/>
    <w:rsid w:val="00007193"/>
    <w:rsid w:val="0001048D"/>
    <w:rsid w:val="00012BE3"/>
    <w:rsid w:val="00012F4F"/>
    <w:rsid w:val="000166F0"/>
    <w:rsid w:val="00020677"/>
    <w:rsid w:val="00021F9A"/>
    <w:rsid w:val="00022410"/>
    <w:rsid w:val="00024909"/>
    <w:rsid w:val="000275A7"/>
    <w:rsid w:val="00030698"/>
    <w:rsid w:val="000307A9"/>
    <w:rsid w:val="000350D4"/>
    <w:rsid w:val="000364FD"/>
    <w:rsid w:val="00037CC6"/>
    <w:rsid w:val="00040DB7"/>
    <w:rsid w:val="000437A8"/>
    <w:rsid w:val="00045D9F"/>
    <w:rsid w:val="00050186"/>
    <w:rsid w:val="00055EE3"/>
    <w:rsid w:val="0005714A"/>
    <w:rsid w:val="000627F1"/>
    <w:rsid w:val="000644D9"/>
    <w:rsid w:val="00066AC1"/>
    <w:rsid w:val="000742DE"/>
    <w:rsid w:val="000766CD"/>
    <w:rsid w:val="000878DF"/>
    <w:rsid w:val="00094339"/>
    <w:rsid w:val="00094748"/>
    <w:rsid w:val="00097665"/>
    <w:rsid w:val="00097DAC"/>
    <w:rsid w:val="000A2AB8"/>
    <w:rsid w:val="000A31FD"/>
    <w:rsid w:val="000A4335"/>
    <w:rsid w:val="000A5992"/>
    <w:rsid w:val="000A6684"/>
    <w:rsid w:val="000A6B12"/>
    <w:rsid w:val="000A6E81"/>
    <w:rsid w:val="000A7F6E"/>
    <w:rsid w:val="000B0C3F"/>
    <w:rsid w:val="000B17CC"/>
    <w:rsid w:val="000B388F"/>
    <w:rsid w:val="000B4F59"/>
    <w:rsid w:val="000B664F"/>
    <w:rsid w:val="000B727C"/>
    <w:rsid w:val="000B78BB"/>
    <w:rsid w:val="000C1584"/>
    <w:rsid w:val="000C2B6F"/>
    <w:rsid w:val="000C557F"/>
    <w:rsid w:val="000C6DF6"/>
    <w:rsid w:val="000C752D"/>
    <w:rsid w:val="000D0654"/>
    <w:rsid w:val="000D1016"/>
    <w:rsid w:val="000D46EB"/>
    <w:rsid w:val="000D5BBC"/>
    <w:rsid w:val="000D5F27"/>
    <w:rsid w:val="000D7550"/>
    <w:rsid w:val="000D7E4A"/>
    <w:rsid w:val="000E1C6D"/>
    <w:rsid w:val="000E62F9"/>
    <w:rsid w:val="000E71CD"/>
    <w:rsid w:val="000F2938"/>
    <w:rsid w:val="000F3F37"/>
    <w:rsid w:val="000F7ADB"/>
    <w:rsid w:val="001001C7"/>
    <w:rsid w:val="00101312"/>
    <w:rsid w:val="00104180"/>
    <w:rsid w:val="001130F4"/>
    <w:rsid w:val="001146F3"/>
    <w:rsid w:val="00115B9E"/>
    <w:rsid w:val="00116151"/>
    <w:rsid w:val="00116E0E"/>
    <w:rsid w:val="001215A3"/>
    <w:rsid w:val="00127A5D"/>
    <w:rsid w:val="00131BBF"/>
    <w:rsid w:val="001324AA"/>
    <w:rsid w:val="0013453F"/>
    <w:rsid w:val="00137E17"/>
    <w:rsid w:val="001423FA"/>
    <w:rsid w:val="00142B29"/>
    <w:rsid w:val="00142DB3"/>
    <w:rsid w:val="0014677B"/>
    <w:rsid w:val="001501D4"/>
    <w:rsid w:val="0015045F"/>
    <w:rsid w:val="00155105"/>
    <w:rsid w:val="001622E9"/>
    <w:rsid w:val="0016471B"/>
    <w:rsid w:val="00166B3A"/>
    <w:rsid w:val="00170619"/>
    <w:rsid w:val="00172F42"/>
    <w:rsid w:val="00175004"/>
    <w:rsid w:val="00176A49"/>
    <w:rsid w:val="001770B5"/>
    <w:rsid w:val="001776E2"/>
    <w:rsid w:val="00180083"/>
    <w:rsid w:val="00181936"/>
    <w:rsid w:val="00184679"/>
    <w:rsid w:val="00184748"/>
    <w:rsid w:val="001902BF"/>
    <w:rsid w:val="00190A1C"/>
    <w:rsid w:val="001931E3"/>
    <w:rsid w:val="001A2157"/>
    <w:rsid w:val="001A3B8B"/>
    <w:rsid w:val="001A4391"/>
    <w:rsid w:val="001A604F"/>
    <w:rsid w:val="001A6BB7"/>
    <w:rsid w:val="001B1139"/>
    <w:rsid w:val="001B2AB7"/>
    <w:rsid w:val="001B319A"/>
    <w:rsid w:val="001B41FE"/>
    <w:rsid w:val="001B45A6"/>
    <w:rsid w:val="001B625A"/>
    <w:rsid w:val="001B76D2"/>
    <w:rsid w:val="001B7BD8"/>
    <w:rsid w:val="001D0644"/>
    <w:rsid w:val="001D19A4"/>
    <w:rsid w:val="001D3696"/>
    <w:rsid w:val="001D4B05"/>
    <w:rsid w:val="001D52A2"/>
    <w:rsid w:val="001D5679"/>
    <w:rsid w:val="001D745B"/>
    <w:rsid w:val="001D75F9"/>
    <w:rsid w:val="001E1584"/>
    <w:rsid w:val="001E3948"/>
    <w:rsid w:val="001E494D"/>
    <w:rsid w:val="001E66C6"/>
    <w:rsid w:val="001E6B95"/>
    <w:rsid w:val="001E7246"/>
    <w:rsid w:val="001E794E"/>
    <w:rsid w:val="001E7FA6"/>
    <w:rsid w:val="001F0081"/>
    <w:rsid w:val="001F28FF"/>
    <w:rsid w:val="001F5895"/>
    <w:rsid w:val="001F6A1F"/>
    <w:rsid w:val="001F709E"/>
    <w:rsid w:val="001F71B8"/>
    <w:rsid w:val="00203C68"/>
    <w:rsid w:val="00204C72"/>
    <w:rsid w:val="0020613C"/>
    <w:rsid w:val="00207541"/>
    <w:rsid w:val="0021025E"/>
    <w:rsid w:val="002111FB"/>
    <w:rsid w:val="002133B8"/>
    <w:rsid w:val="00217C22"/>
    <w:rsid w:val="00222205"/>
    <w:rsid w:val="002233A3"/>
    <w:rsid w:val="002337E1"/>
    <w:rsid w:val="002339C0"/>
    <w:rsid w:val="00234C9F"/>
    <w:rsid w:val="0024049E"/>
    <w:rsid w:val="002472F4"/>
    <w:rsid w:val="00251786"/>
    <w:rsid w:val="0025270F"/>
    <w:rsid w:val="002528A4"/>
    <w:rsid w:val="00254C3D"/>
    <w:rsid w:val="002552BA"/>
    <w:rsid w:val="00257C0B"/>
    <w:rsid w:val="0026084E"/>
    <w:rsid w:val="00260B12"/>
    <w:rsid w:val="002648CF"/>
    <w:rsid w:val="00270A95"/>
    <w:rsid w:val="002733D2"/>
    <w:rsid w:val="0027593E"/>
    <w:rsid w:val="00280987"/>
    <w:rsid w:val="00282359"/>
    <w:rsid w:val="00284910"/>
    <w:rsid w:val="00285979"/>
    <w:rsid w:val="00287B69"/>
    <w:rsid w:val="00290F73"/>
    <w:rsid w:val="002A1AA5"/>
    <w:rsid w:val="002A630D"/>
    <w:rsid w:val="002A6761"/>
    <w:rsid w:val="002B44AD"/>
    <w:rsid w:val="002B57E1"/>
    <w:rsid w:val="002C0A0B"/>
    <w:rsid w:val="002C0EFF"/>
    <w:rsid w:val="002C128D"/>
    <w:rsid w:val="002C153E"/>
    <w:rsid w:val="002C661C"/>
    <w:rsid w:val="002C681D"/>
    <w:rsid w:val="002C69CE"/>
    <w:rsid w:val="002C6D12"/>
    <w:rsid w:val="002D19EA"/>
    <w:rsid w:val="002D1FEF"/>
    <w:rsid w:val="002D2754"/>
    <w:rsid w:val="002D29BF"/>
    <w:rsid w:val="002D40AF"/>
    <w:rsid w:val="002D5508"/>
    <w:rsid w:val="002E0C15"/>
    <w:rsid w:val="002E15B7"/>
    <w:rsid w:val="002E1947"/>
    <w:rsid w:val="002E31BB"/>
    <w:rsid w:val="002E5E64"/>
    <w:rsid w:val="002E75E9"/>
    <w:rsid w:val="002E7F83"/>
    <w:rsid w:val="002F100F"/>
    <w:rsid w:val="002F2AB8"/>
    <w:rsid w:val="002F3B4B"/>
    <w:rsid w:val="002F60F1"/>
    <w:rsid w:val="002F7DDD"/>
    <w:rsid w:val="003002A3"/>
    <w:rsid w:val="00300753"/>
    <w:rsid w:val="00303CBB"/>
    <w:rsid w:val="0030472B"/>
    <w:rsid w:val="00304E9E"/>
    <w:rsid w:val="003066CB"/>
    <w:rsid w:val="003077B8"/>
    <w:rsid w:val="00312140"/>
    <w:rsid w:val="0031292C"/>
    <w:rsid w:val="003137FC"/>
    <w:rsid w:val="00315151"/>
    <w:rsid w:val="00315804"/>
    <w:rsid w:val="00317A7F"/>
    <w:rsid w:val="003238BD"/>
    <w:rsid w:val="00324201"/>
    <w:rsid w:val="0033252D"/>
    <w:rsid w:val="00334E81"/>
    <w:rsid w:val="00334EEB"/>
    <w:rsid w:val="00335587"/>
    <w:rsid w:val="003410CA"/>
    <w:rsid w:val="00343936"/>
    <w:rsid w:val="00343ED0"/>
    <w:rsid w:val="00344FB8"/>
    <w:rsid w:val="00345F38"/>
    <w:rsid w:val="00354DCA"/>
    <w:rsid w:val="0035678E"/>
    <w:rsid w:val="00360225"/>
    <w:rsid w:val="00362B98"/>
    <w:rsid w:val="003638C9"/>
    <w:rsid w:val="003643F1"/>
    <w:rsid w:val="003710A5"/>
    <w:rsid w:val="003762DB"/>
    <w:rsid w:val="00382A66"/>
    <w:rsid w:val="0038540C"/>
    <w:rsid w:val="003862F6"/>
    <w:rsid w:val="0039222C"/>
    <w:rsid w:val="0039290B"/>
    <w:rsid w:val="00396FF1"/>
    <w:rsid w:val="003A3B63"/>
    <w:rsid w:val="003A482A"/>
    <w:rsid w:val="003A5978"/>
    <w:rsid w:val="003B1758"/>
    <w:rsid w:val="003B1F79"/>
    <w:rsid w:val="003B668F"/>
    <w:rsid w:val="003B717D"/>
    <w:rsid w:val="003B77C0"/>
    <w:rsid w:val="003C0DB2"/>
    <w:rsid w:val="003C387A"/>
    <w:rsid w:val="003C56AA"/>
    <w:rsid w:val="003C5973"/>
    <w:rsid w:val="003D02A8"/>
    <w:rsid w:val="003D3A91"/>
    <w:rsid w:val="003D5E13"/>
    <w:rsid w:val="003D739E"/>
    <w:rsid w:val="003E13EB"/>
    <w:rsid w:val="003E24E5"/>
    <w:rsid w:val="003E3A23"/>
    <w:rsid w:val="003E46B0"/>
    <w:rsid w:val="003F05A8"/>
    <w:rsid w:val="003F0F2E"/>
    <w:rsid w:val="003F156C"/>
    <w:rsid w:val="003F1CCF"/>
    <w:rsid w:val="003F2A53"/>
    <w:rsid w:val="003F6A46"/>
    <w:rsid w:val="00400195"/>
    <w:rsid w:val="00401689"/>
    <w:rsid w:val="00403C23"/>
    <w:rsid w:val="00404226"/>
    <w:rsid w:val="00405CF6"/>
    <w:rsid w:val="00410D27"/>
    <w:rsid w:val="0041398F"/>
    <w:rsid w:val="00413B8B"/>
    <w:rsid w:val="004151E3"/>
    <w:rsid w:val="00416A3C"/>
    <w:rsid w:val="00417EF4"/>
    <w:rsid w:val="00425E57"/>
    <w:rsid w:val="00427F5D"/>
    <w:rsid w:val="004322C9"/>
    <w:rsid w:val="00434BD1"/>
    <w:rsid w:val="004425B7"/>
    <w:rsid w:val="0044274E"/>
    <w:rsid w:val="0044313E"/>
    <w:rsid w:val="00444FEE"/>
    <w:rsid w:val="00456189"/>
    <w:rsid w:val="0045654E"/>
    <w:rsid w:val="00456F34"/>
    <w:rsid w:val="0046116D"/>
    <w:rsid w:val="00461C2A"/>
    <w:rsid w:val="00463759"/>
    <w:rsid w:val="00466309"/>
    <w:rsid w:val="004713F8"/>
    <w:rsid w:val="004715CA"/>
    <w:rsid w:val="00471A3C"/>
    <w:rsid w:val="004811C3"/>
    <w:rsid w:val="004819C5"/>
    <w:rsid w:val="00483635"/>
    <w:rsid w:val="0048672B"/>
    <w:rsid w:val="004928E4"/>
    <w:rsid w:val="004956F1"/>
    <w:rsid w:val="004A00A1"/>
    <w:rsid w:val="004A0B25"/>
    <w:rsid w:val="004A1448"/>
    <w:rsid w:val="004A279B"/>
    <w:rsid w:val="004A2EA2"/>
    <w:rsid w:val="004A510A"/>
    <w:rsid w:val="004A5960"/>
    <w:rsid w:val="004B730D"/>
    <w:rsid w:val="004B74AA"/>
    <w:rsid w:val="004C1736"/>
    <w:rsid w:val="004C63CE"/>
    <w:rsid w:val="004D7473"/>
    <w:rsid w:val="004D7B69"/>
    <w:rsid w:val="004E1137"/>
    <w:rsid w:val="004E1ED0"/>
    <w:rsid w:val="004E6F86"/>
    <w:rsid w:val="004E713A"/>
    <w:rsid w:val="004E7C5E"/>
    <w:rsid w:val="004F0A4C"/>
    <w:rsid w:val="004F2AA6"/>
    <w:rsid w:val="004F3EBB"/>
    <w:rsid w:val="0050206A"/>
    <w:rsid w:val="00502881"/>
    <w:rsid w:val="00502EF1"/>
    <w:rsid w:val="005044A2"/>
    <w:rsid w:val="00504B98"/>
    <w:rsid w:val="005073E1"/>
    <w:rsid w:val="005076CF"/>
    <w:rsid w:val="005107BF"/>
    <w:rsid w:val="00514707"/>
    <w:rsid w:val="00515C05"/>
    <w:rsid w:val="00520496"/>
    <w:rsid w:val="00525F3F"/>
    <w:rsid w:val="00530662"/>
    <w:rsid w:val="00530EFF"/>
    <w:rsid w:val="00530F6D"/>
    <w:rsid w:val="00533A83"/>
    <w:rsid w:val="00535B90"/>
    <w:rsid w:val="00535C98"/>
    <w:rsid w:val="00535F69"/>
    <w:rsid w:val="00543CB0"/>
    <w:rsid w:val="005474BC"/>
    <w:rsid w:val="00552462"/>
    <w:rsid w:val="0055320D"/>
    <w:rsid w:val="00553271"/>
    <w:rsid w:val="00554C44"/>
    <w:rsid w:val="005560BF"/>
    <w:rsid w:val="00556D31"/>
    <w:rsid w:val="00563585"/>
    <w:rsid w:val="0056666F"/>
    <w:rsid w:val="0057236A"/>
    <w:rsid w:val="005779B2"/>
    <w:rsid w:val="00581A7F"/>
    <w:rsid w:val="0058293F"/>
    <w:rsid w:val="00582CED"/>
    <w:rsid w:val="005839C8"/>
    <w:rsid w:val="00585682"/>
    <w:rsid w:val="00585FC7"/>
    <w:rsid w:val="00587B31"/>
    <w:rsid w:val="00596C13"/>
    <w:rsid w:val="00597A53"/>
    <w:rsid w:val="005A0732"/>
    <w:rsid w:val="005A6B8A"/>
    <w:rsid w:val="005B0803"/>
    <w:rsid w:val="005B122F"/>
    <w:rsid w:val="005B1D92"/>
    <w:rsid w:val="005B2BC4"/>
    <w:rsid w:val="005B350E"/>
    <w:rsid w:val="005B492C"/>
    <w:rsid w:val="005B7579"/>
    <w:rsid w:val="005C2DC2"/>
    <w:rsid w:val="005C36CD"/>
    <w:rsid w:val="005C62CB"/>
    <w:rsid w:val="005C6DBF"/>
    <w:rsid w:val="005C7EDC"/>
    <w:rsid w:val="005D03CF"/>
    <w:rsid w:val="005D12EC"/>
    <w:rsid w:val="005D1974"/>
    <w:rsid w:val="005D20B4"/>
    <w:rsid w:val="005D29A9"/>
    <w:rsid w:val="005D2B5F"/>
    <w:rsid w:val="005D3306"/>
    <w:rsid w:val="005D40D9"/>
    <w:rsid w:val="005D585B"/>
    <w:rsid w:val="005E3063"/>
    <w:rsid w:val="005E43B3"/>
    <w:rsid w:val="005E7B27"/>
    <w:rsid w:val="005F2070"/>
    <w:rsid w:val="005F4C12"/>
    <w:rsid w:val="005F6584"/>
    <w:rsid w:val="00602B35"/>
    <w:rsid w:val="00603E48"/>
    <w:rsid w:val="00605B8C"/>
    <w:rsid w:val="006066F5"/>
    <w:rsid w:val="006072F4"/>
    <w:rsid w:val="00616389"/>
    <w:rsid w:val="00616A9A"/>
    <w:rsid w:val="0061729F"/>
    <w:rsid w:val="006206D0"/>
    <w:rsid w:val="00623594"/>
    <w:rsid w:val="00623A16"/>
    <w:rsid w:val="006264B9"/>
    <w:rsid w:val="00632FBE"/>
    <w:rsid w:val="006350BF"/>
    <w:rsid w:val="00635866"/>
    <w:rsid w:val="00635D9A"/>
    <w:rsid w:val="00640931"/>
    <w:rsid w:val="00641030"/>
    <w:rsid w:val="00643062"/>
    <w:rsid w:val="00643869"/>
    <w:rsid w:val="00643F21"/>
    <w:rsid w:val="00646A10"/>
    <w:rsid w:val="00646C44"/>
    <w:rsid w:val="006474D5"/>
    <w:rsid w:val="00647643"/>
    <w:rsid w:val="00647A5E"/>
    <w:rsid w:val="006539F3"/>
    <w:rsid w:val="00661691"/>
    <w:rsid w:val="00664D65"/>
    <w:rsid w:val="00665DDE"/>
    <w:rsid w:val="00667014"/>
    <w:rsid w:val="0066726B"/>
    <w:rsid w:val="006676CA"/>
    <w:rsid w:val="00670C5C"/>
    <w:rsid w:val="00673918"/>
    <w:rsid w:val="006758B2"/>
    <w:rsid w:val="006831F3"/>
    <w:rsid w:val="0068432E"/>
    <w:rsid w:val="00684AF3"/>
    <w:rsid w:val="006856B4"/>
    <w:rsid w:val="0069513A"/>
    <w:rsid w:val="0069622D"/>
    <w:rsid w:val="006A0224"/>
    <w:rsid w:val="006A0A48"/>
    <w:rsid w:val="006A21A0"/>
    <w:rsid w:val="006A3EED"/>
    <w:rsid w:val="006A573F"/>
    <w:rsid w:val="006B1287"/>
    <w:rsid w:val="006B183C"/>
    <w:rsid w:val="006B23DE"/>
    <w:rsid w:val="006B5B5A"/>
    <w:rsid w:val="006C19A0"/>
    <w:rsid w:val="006C2432"/>
    <w:rsid w:val="006C24E1"/>
    <w:rsid w:val="006D2738"/>
    <w:rsid w:val="006D743B"/>
    <w:rsid w:val="006E122D"/>
    <w:rsid w:val="006E1D94"/>
    <w:rsid w:val="006E269B"/>
    <w:rsid w:val="006E5479"/>
    <w:rsid w:val="006E61CC"/>
    <w:rsid w:val="006E6EE9"/>
    <w:rsid w:val="006E79B8"/>
    <w:rsid w:val="006F055A"/>
    <w:rsid w:val="006F2AEA"/>
    <w:rsid w:val="00700007"/>
    <w:rsid w:val="00705677"/>
    <w:rsid w:val="00711FB7"/>
    <w:rsid w:val="00712992"/>
    <w:rsid w:val="00714F2F"/>
    <w:rsid w:val="0071539C"/>
    <w:rsid w:val="007163DB"/>
    <w:rsid w:val="00716FE3"/>
    <w:rsid w:val="0072165B"/>
    <w:rsid w:val="007216FF"/>
    <w:rsid w:val="007235E3"/>
    <w:rsid w:val="00723E01"/>
    <w:rsid w:val="00726D7A"/>
    <w:rsid w:val="00727019"/>
    <w:rsid w:val="00730587"/>
    <w:rsid w:val="00731BE6"/>
    <w:rsid w:val="00733363"/>
    <w:rsid w:val="00743235"/>
    <w:rsid w:val="00743AC6"/>
    <w:rsid w:val="00745749"/>
    <w:rsid w:val="007479B4"/>
    <w:rsid w:val="007551F4"/>
    <w:rsid w:val="007604AC"/>
    <w:rsid w:val="00761213"/>
    <w:rsid w:val="00762563"/>
    <w:rsid w:val="007658F9"/>
    <w:rsid w:val="007664CE"/>
    <w:rsid w:val="007731CF"/>
    <w:rsid w:val="00774F84"/>
    <w:rsid w:val="007762F5"/>
    <w:rsid w:val="0077788A"/>
    <w:rsid w:val="007808D3"/>
    <w:rsid w:val="007809D1"/>
    <w:rsid w:val="0078107C"/>
    <w:rsid w:val="007810E6"/>
    <w:rsid w:val="007861AE"/>
    <w:rsid w:val="00793C0C"/>
    <w:rsid w:val="007966D1"/>
    <w:rsid w:val="007972EE"/>
    <w:rsid w:val="007A192F"/>
    <w:rsid w:val="007A3BBD"/>
    <w:rsid w:val="007A685B"/>
    <w:rsid w:val="007A6F39"/>
    <w:rsid w:val="007A78A4"/>
    <w:rsid w:val="007B08FD"/>
    <w:rsid w:val="007B112E"/>
    <w:rsid w:val="007C2606"/>
    <w:rsid w:val="007C3167"/>
    <w:rsid w:val="007C4170"/>
    <w:rsid w:val="007C4E3B"/>
    <w:rsid w:val="007C4FA8"/>
    <w:rsid w:val="007C6201"/>
    <w:rsid w:val="007D5ACC"/>
    <w:rsid w:val="007D6033"/>
    <w:rsid w:val="007D639C"/>
    <w:rsid w:val="007D6977"/>
    <w:rsid w:val="007D6A9A"/>
    <w:rsid w:val="007D6BE4"/>
    <w:rsid w:val="007E2235"/>
    <w:rsid w:val="007E2C26"/>
    <w:rsid w:val="007E4274"/>
    <w:rsid w:val="007E52C0"/>
    <w:rsid w:val="007E66FD"/>
    <w:rsid w:val="007E7C78"/>
    <w:rsid w:val="007F31CB"/>
    <w:rsid w:val="007F35EE"/>
    <w:rsid w:val="00802BA4"/>
    <w:rsid w:val="00802C61"/>
    <w:rsid w:val="0080447C"/>
    <w:rsid w:val="008048EE"/>
    <w:rsid w:val="008049DE"/>
    <w:rsid w:val="00804D23"/>
    <w:rsid w:val="008068DD"/>
    <w:rsid w:val="00806963"/>
    <w:rsid w:val="00807726"/>
    <w:rsid w:val="008077F5"/>
    <w:rsid w:val="00812ECE"/>
    <w:rsid w:val="00814872"/>
    <w:rsid w:val="008261E4"/>
    <w:rsid w:val="00833799"/>
    <w:rsid w:val="00833866"/>
    <w:rsid w:val="00834F64"/>
    <w:rsid w:val="00835A29"/>
    <w:rsid w:val="00835CAE"/>
    <w:rsid w:val="00835FB2"/>
    <w:rsid w:val="00835FC9"/>
    <w:rsid w:val="00843C49"/>
    <w:rsid w:val="00844B5F"/>
    <w:rsid w:val="0084520E"/>
    <w:rsid w:val="00845F03"/>
    <w:rsid w:val="00852FE5"/>
    <w:rsid w:val="008608DE"/>
    <w:rsid w:val="008622A9"/>
    <w:rsid w:val="00862346"/>
    <w:rsid w:val="00862517"/>
    <w:rsid w:val="008677E4"/>
    <w:rsid w:val="0087027F"/>
    <w:rsid w:val="0087202C"/>
    <w:rsid w:val="0088142B"/>
    <w:rsid w:val="00883881"/>
    <w:rsid w:val="008839AC"/>
    <w:rsid w:val="00883C0B"/>
    <w:rsid w:val="0088547E"/>
    <w:rsid w:val="00885BBA"/>
    <w:rsid w:val="00892804"/>
    <w:rsid w:val="0089651D"/>
    <w:rsid w:val="008A4B82"/>
    <w:rsid w:val="008A69BD"/>
    <w:rsid w:val="008B3599"/>
    <w:rsid w:val="008B4D9C"/>
    <w:rsid w:val="008C1B3F"/>
    <w:rsid w:val="008C319D"/>
    <w:rsid w:val="008C3BBA"/>
    <w:rsid w:val="008C42F9"/>
    <w:rsid w:val="008D190C"/>
    <w:rsid w:val="008D2997"/>
    <w:rsid w:val="008D36D3"/>
    <w:rsid w:val="008D446D"/>
    <w:rsid w:val="008E088A"/>
    <w:rsid w:val="008E1AFB"/>
    <w:rsid w:val="008E518D"/>
    <w:rsid w:val="008E65E5"/>
    <w:rsid w:val="008F32DA"/>
    <w:rsid w:val="008F33EB"/>
    <w:rsid w:val="008F4804"/>
    <w:rsid w:val="008F6C7D"/>
    <w:rsid w:val="008F78C6"/>
    <w:rsid w:val="009003D8"/>
    <w:rsid w:val="0090260C"/>
    <w:rsid w:val="00903475"/>
    <w:rsid w:val="009054C2"/>
    <w:rsid w:val="00906CF1"/>
    <w:rsid w:val="009107E9"/>
    <w:rsid w:val="009268B1"/>
    <w:rsid w:val="00926A3A"/>
    <w:rsid w:val="009332A3"/>
    <w:rsid w:val="00933492"/>
    <w:rsid w:val="00940741"/>
    <w:rsid w:val="0094197E"/>
    <w:rsid w:val="00944591"/>
    <w:rsid w:val="009448CC"/>
    <w:rsid w:val="00946BA1"/>
    <w:rsid w:val="00947C96"/>
    <w:rsid w:val="009507E8"/>
    <w:rsid w:val="009553BB"/>
    <w:rsid w:val="00955E9D"/>
    <w:rsid w:val="00960ED5"/>
    <w:rsid w:val="00962A5B"/>
    <w:rsid w:val="00962D2A"/>
    <w:rsid w:val="00970711"/>
    <w:rsid w:val="0097090C"/>
    <w:rsid w:val="009819C0"/>
    <w:rsid w:val="009839F4"/>
    <w:rsid w:val="00985B71"/>
    <w:rsid w:val="00992065"/>
    <w:rsid w:val="00993B31"/>
    <w:rsid w:val="0099414F"/>
    <w:rsid w:val="009A32B7"/>
    <w:rsid w:val="009A74D2"/>
    <w:rsid w:val="009B0560"/>
    <w:rsid w:val="009B5A50"/>
    <w:rsid w:val="009C193A"/>
    <w:rsid w:val="009C2739"/>
    <w:rsid w:val="009C618F"/>
    <w:rsid w:val="009C6D23"/>
    <w:rsid w:val="009C7846"/>
    <w:rsid w:val="009D0F54"/>
    <w:rsid w:val="009D1C7D"/>
    <w:rsid w:val="009D23B1"/>
    <w:rsid w:val="009D4446"/>
    <w:rsid w:val="009D54D4"/>
    <w:rsid w:val="009D5C5E"/>
    <w:rsid w:val="009D7551"/>
    <w:rsid w:val="009E016A"/>
    <w:rsid w:val="009E0977"/>
    <w:rsid w:val="009E605D"/>
    <w:rsid w:val="009E6E11"/>
    <w:rsid w:val="009E75DB"/>
    <w:rsid w:val="009E7BC7"/>
    <w:rsid w:val="009F1663"/>
    <w:rsid w:val="00A021B4"/>
    <w:rsid w:val="00A025BB"/>
    <w:rsid w:val="00A03910"/>
    <w:rsid w:val="00A04699"/>
    <w:rsid w:val="00A108FC"/>
    <w:rsid w:val="00A114BA"/>
    <w:rsid w:val="00A12BE9"/>
    <w:rsid w:val="00A13A2C"/>
    <w:rsid w:val="00A25DE7"/>
    <w:rsid w:val="00A30767"/>
    <w:rsid w:val="00A3647D"/>
    <w:rsid w:val="00A41B92"/>
    <w:rsid w:val="00A42A04"/>
    <w:rsid w:val="00A43F11"/>
    <w:rsid w:val="00A53844"/>
    <w:rsid w:val="00A540D4"/>
    <w:rsid w:val="00A55CB1"/>
    <w:rsid w:val="00A56BE3"/>
    <w:rsid w:val="00A60AD4"/>
    <w:rsid w:val="00A60BD6"/>
    <w:rsid w:val="00A676D6"/>
    <w:rsid w:val="00A7193A"/>
    <w:rsid w:val="00A72F0D"/>
    <w:rsid w:val="00A76F4C"/>
    <w:rsid w:val="00A81BE1"/>
    <w:rsid w:val="00A90A28"/>
    <w:rsid w:val="00A94AF6"/>
    <w:rsid w:val="00A960D3"/>
    <w:rsid w:val="00A96E74"/>
    <w:rsid w:val="00A97319"/>
    <w:rsid w:val="00AA0B4C"/>
    <w:rsid w:val="00AA22D5"/>
    <w:rsid w:val="00AA2886"/>
    <w:rsid w:val="00AA2FFC"/>
    <w:rsid w:val="00AA438F"/>
    <w:rsid w:val="00AB24BC"/>
    <w:rsid w:val="00AB5824"/>
    <w:rsid w:val="00AB67FD"/>
    <w:rsid w:val="00AB7DCE"/>
    <w:rsid w:val="00AC00BB"/>
    <w:rsid w:val="00AC1257"/>
    <w:rsid w:val="00AC1DE5"/>
    <w:rsid w:val="00AC2B80"/>
    <w:rsid w:val="00AD04FB"/>
    <w:rsid w:val="00AD74A6"/>
    <w:rsid w:val="00AD79C0"/>
    <w:rsid w:val="00AE1ED8"/>
    <w:rsid w:val="00AE3948"/>
    <w:rsid w:val="00AE443C"/>
    <w:rsid w:val="00AF08E4"/>
    <w:rsid w:val="00AF6C39"/>
    <w:rsid w:val="00AF777A"/>
    <w:rsid w:val="00B02AD8"/>
    <w:rsid w:val="00B0626A"/>
    <w:rsid w:val="00B10B32"/>
    <w:rsid w:val="00B10D30"/>
    <w:rsid w:val="00B12156"/>
    <w:rsid w:val="00B154FF"/>
    <w:rsid w:val="00B15BCE"/>
    <w:rsid w:val="00B20FB5"/>
    <w:rsid w:val="00B23199"/>
    <w:rsid w:val="00B269D4"/>
    <w:rsid w:val="00B26FD4"/>
    <w:rsid w:val="00B2725D"/>
    <w:rsid w:val="00B31F8F"/>
    <w:rsid w:val="00B349AE"/>
    <w:rsid w:val="00B36F6C"/>
    <w:rsid w:val="00B44BC3"/>
    <w:rsid w:val="00B55D8A"/>
    <w:rsid w:val="00B57627"/>
    <w:rsid w:val="00B60647"/>
    <w:rsid w:val="00B62777"/>
    <w:rsid w:val="00B647C0"/>
    <w:rsid w:val="00B65DE2"/>
    <w:rsid w:val="00B71852"/>
    <w:rsid w:val="00B73B9A"/>
    <w:rsid w:val="00B75CFC"/>
    <w:rsid w:val="00B76202"/>
    <w:rsid w:val="00B76697"/>
    <w:rsid w:val="00B81B60"/>
    <w:rsid w:val="00B839D3"/>
    <w:rsid w:val="00B863B3"/>
    <w:rsid w:val="00B86CD4"/>
    <w:rsid w:val="00B94198"/>
    <w:rsid w:val="00BA421D"/>
    <w:rsid w:val="00BA5ED7"/>
    <w:rsid w:val="00BA7B25"/>
    <w:rsid w:val="00BB07DB"/>
    <w:rsid w:val="00BB283A"/>
    <w:rsid w:val="00BB7FBD"/>
    <w:rsid w:val="00BC45C6"/>
    <w:rsid w:val="00BC6EA5"/>
    <w:rsid w:val="00BD065C"/>
    <w:rsid w:val="00BD7C87"/>
    <w:rsid w:val="00BE0706"/>
    <w:rsid w:val="00BE12A4"/>
    <w:rsid w:val="00BE3AB7"/>
    <w:rsid w:val="00BE6739"/>
    <w:rsid w:val="00BE6D19"/>
    <w:rsid w:val="00BF00D4"/>
    <w:rsid w:val="00BF3412"/>
    <w:rsid w:val="00BF3AB8"/>
    <w:rsid w:val="00BF407D"/>
    <w:rsid w:val="00BF68EA"/>
    <w:rsid w:val="00BF74D6"/>
    <w:rsid w:val="00BF7965"/>
    <w:rsid w:val="00BF7CBE"/>
    <w:rsid w:val="00BF7DB3"/>
    <w:rsid w:val="00C008CA"/>
    <w:rsid w:val="00C04414"/>
    <w:rsid w:val="00C05243"/>
    <w:rsid w:val="00C0685D"/>
    <w:rsid w:val="00C06AC0"/>
    <w:rsid w:val="00C06BEA"/>
    <w:rsid w:val="00C1145A"/>
    <w:rsid w:val="00C115B0"/>
    <w:rsid w:val="00C12527"/>
    <w:rsid w:val="00C16F89"/>
    <w:rsid w:val="00C172D5"/>
    <w:rsid w:val="00C21E1A"/>
    <w:rsid w:val="00C230EE"/>
    <w:rsid w:val="00C23FE5"/>
    <w:rsid w:val="00C259C1"/>
    <w:rsid w:val="00C264AD"/>
    <w:rsid w:val="00C26719"/>
    <w:rsid w:val="00C3182E"/>
    <w:rsid w:val="00C337FD"/>
    <w:rsid w:val="00C33B0F"/>
    <w:rsid w:val="00C33F6F"/>
    <w:rsid w:val="00C363DA"/>
    <w:rsid w:val="00C413A8"/>
    <w:rsid w:val="00C429A7"/>
    <w:rsid w:val="00C434D7"/>
    <w:rsid w:val="00C4635C"/>
    <w:rsid w:val="00C46748"/>
    <w:rsid w:val="00C46CF6"/>
    <w:rsid w:val="00C516B9"/>
    <w:rsid w:val="00C529AD"/>
    <w:rsid w:val="00C54A0C"/>
    <w:rsid w:val="00C61346"/>
    <w:rsid w:val="00C6160B"/>
    <w:rsid w:val="00C64CB0"/>
    <w:rsid w:val="00C651E3"/>
    <w:rsid w:val="00C653CE"/>
    <w:rsid w:val="00C67191"/>
    <w:rsid w:val="00C67319"/>
    <w:rsid w:val="00C74E2F"/>
    <w:rsid w:val="00C82940"/>
    <w:rsid w:val="00C84542"/>
    <w:rsid w:val="00C845E4"/>
    <w:rsid w:val="00C876D0"/>
    <w:rsid w:val="00C8789E"/>
    <w:rsid w:val="00C9120B"/>
    <w:rsid w:val="00C91839"/>
    <w:rsid w:val="00C92368"/>
    <w:rsid w:val="00C9560A"/>
    <w:rsid w:val="00C9647F"/>
    <w:rsid w:val="00CA1B10"/>
    <w:rsid w:val="00CA62B8"/>
    <w:rsid w:val="00CB1FF7"/>
    <w:rsid w:val="00CB2498"/>
    <w:rsid w:val="00CB35AB"/>
    <w:rsid w:val="00CB6ECB"/>
    <w:rsid w:val="00CC09FE"/>
    <w:rsid w:val="00CC230B"/>
    <w:rsid w:val="00CC366F"/>
    <w:rsid w:val="00CC5B75"/>
    <w:rsid w:val="00CC5DA6"/>
    <w:rsid w:val="00CD0B0C"/>
    <w:rsid w:val="00CE1386"/>
    <w:rsid w:val="00CE1B15"/>
    <w:rsid w:val="00CE24FE"/>
    <w:rsid w:val="00CE3BA4"/>
    <w:rsid w:val="00CE4966"/>
    <w:rsid w:val="00CE59F0"/>
    <w:rsid w:val="00CE7542"/>
    <w:rsid w:val="00CF6E21"/>
    <w:rsid w:val="00D040E4"/>
    <w:rsid w:val="00D129F1"/>
    <w:rsid w:val="00D13308"/>
    <w:rsid w:val="00D17B84"/>
    <w:rsid w:val="00D255DC"/>
    <w:rsid w:val="00D261C1"/>
    <w:rsid w:val="00D30FC8"/>
    <w:rsid w:val="00D35A04"/>
    <w:rsid w:val="00D35B0B"/>
    <w:rsid w:val="00D361F6"/>
    <w:rsid w:val="00D37E26"/>
    <w:rsid w:val="00D40FD6"/>
    <w:rsid w:val="00D42911"/>
    <w:rsid w:val="00D42F6A"/>
    <w:rsid w:val="00D43B8A"/>
    <w:rsid w:val="00D510F7"/>
    <w:rsid w:val="00D51D60"/>
    <w:rsid w:val="00D55041"/>
    <w:rsid w:val="00D572BC"/>
    <w:rsid w:val="00D61548"/>
    <w:rsid w:val="00D6428B"/>
    <w:rsid w:val="00D661E1"/>
    <w:rsid w:val="00D67B8B"/>
    <w:rsid w:val="00D714D0"/>
    <w:rsid w:val="00D7304B"/>
    <w:rsid w:val="00D7304F"/>
    <w:rsid w:val="00D7435F"/>
    <w:rsid w:val="00D76F08"/>
    <w:rsid w:val="00D77914"/>
    <w:rsid w:val="00D80623"/>
    <w:rsid w:val="00D8102D"/>
    <w:rsid w:val="00D81B75"/>
    <w:rsid w:val="00D82661"/>
    <w:rsid w:val="00D86FFC"/>
    <w:rsid w:val="00D94092"/>
    <w:rsid w:val="00D94221"/>
    <w:rsid w:val="00DA57C1"/>
    <w:rsid w:val="00DB0884"/>
    <w:rsid w:val="00DB1C03"/>
    <w:rsid w:val="00DB2C68"/>
    <w:rsid w:val="00DB65CB"/>
    <w:rsid w:val="00DB7835"/>
    <w:rsid w:val="00DC0947"/>
    <w:rsid w:val="00DC0CFB"/>
    <w:rsid w:val="00DC2C52"/>
    <w:rsid w:val="00DC487C"/>
    <w:rsid w:val="00DC6929"/>
    <w:rsid w:val="00DD04D5"/>
    <w:rsid w:val="00DD1216"/>
    <w:rsid w:val="00DD1344"/>
    <w:rsid w:val="00DE1BC3"/>
    <w:rsid w:val="00DE36E9"/>
    <w:rsid w:val="00DF1D2A"/>
    <w:rsid w:val="00DF2516"/>
    <w:rsid w:val="00DF3AB6"/>
    <w:rsid w:val="00DF4521"/>
    <w:rsid w:val="00DF6C58"/>
    <w:rsid w:val="00DF7906"/>
    <w:rsid w:val="00E018F8"/>
    <w:rsid w:val="00E036A1"/>
    <w:rsid w:val="00E03F40"/>
    <w:rsid w:val="00E050B2"/>
    <w:rsid w:val="00E10FF2"/>
    <w:rsid w:val="00E141DB"/>
    <w:rsid w:val="00E21D65"/>
    <w:rsid w:val="00E23B01"/>
    <w:rsid w:val="00E24677"/>
    <w:rsid w:val="00E24EDB"/>
    <w:rsid w:val="00E25FA0"/>
    <w:rsid w:val="00E3179B"/>
    <w:rsid w:val="00E31BB7"/>
    <w:rsid w:val="00E34BB6"/>
    <w:rsid w:val="00E350AA"/>
    <w:rsid w:val="00E37942"/>
    <w:rsid w:val="00E41871"/>
    <w:rsid w:val="00E42865"/>
    <w:rsid w:val="00E44503"/>
    <w:rsid w:val="00E4504B"/>
    <w:rsid w:val="00E452C5"/>
    <w:rsid w:val="00E45DBB"/>
    <w:rsid w:val="00E50B1C"/>
    <w:rsid w:val="00E537C9"/>
    <w:rsid w:val="00E54525"/>
    <w:rsid w:val="00E553C9"/>
    <w:rsid w:val="00E56852"/>
    <w:rsid w:val="00E647B6"/>
    <w:rsid w:val="00E6785D"/>
    <w:rsid w:val="00E72708"/>
    <w:rsid w:val="00E76A0F"/>
    <w:rsid w:val="00E779C6"/>
    <w:rsid w:val="00E80C78"/>
    <w:rsid w:val="00E80D37"/>
    <w:rsid w:val="00E83279"/>
    <w:rsid w:val="00E83812"/>
    <w:rsid w:val="00E8523C"/>
    <w:rsid w:val="00E907FD"/>
    <w:rsid w:val="00E9256B"/>
    <w:rsid w:val="00EA0298"/>
    <w:rsid w:val="00EA17C0"/>
    <w:rsid w:val="00EA23E5"/>
    <w:rsid w:val="00EA4B4E"/>
    <w:rsid w:val="00EB276E"/>
    <w:rsid w:val="00EB27E7"/>
    <w:rsid w:val="00EB3589"/>
    <w:rsid w:val="00EB4024"/>
    <w:rsid w:val="00EB73C3"/>
    <w:rsid w:val="00EB79EE"/>
    <w:rsid w:val="00EC08B8"/>
    <w:rsid w:val="00EC16A4"/>
    <w:rsid w:val="00ED4240"/>
    <w:rsid w:val="00ED59DA"/>
    <w:rsid w:val="00EE5B18"/>
    <w:rsid w:val="00EF29BF"/>
    <w:rsid w:val="00F03DB0"/>
    <w:rsid w:val="00F0547C"/>
    <w:rsid w:val="00F05D4D"/>
    <w:rsid w:val="00F067D4"/>
    <w:rsid w:val="00F107CC"/>
    <w:rsid w:val="00F16C1F"/>
    <w:rsid w:val="00F20310"/>
    <w:rsid w:val="00F2073D"/>
    <w:rsid w:val="00F27C65"/>
    <w:rsid w:val="00F330B9"/>
    <w:rsid w:val="00F34585"/>
    <w:rsid w:val="00F37726"/>
    <w:rsid w:val="00F44448"/>
    <w:rsid w:val="00F44829"/>
    <w:rsid w:val="00F50C7F"/>
    <w:rsid w:val="00F5399C"/>
    <w:rsid w:val="00F53F2B"/>
    <w:rsid w:val="00F54721"/>
    <w:rsid w:val="00F55C5B"/>
    <w:rsid w:val="00F56CC4"/>
    <w:rsid w:val="00F5728C"/>
    <w:rsid w:val="00F6608A"/>
    <w:rsid w:val="00F67134"/>
    <w:rsid w:val="00F671ED"/>
    <w:rsid w:val="00F71092"/>
    <w:rsid w:val="00F71926"/>
    <w:rsid w:val="00F71E07"/>
    <w:rsid w:val="00F748D9"/>
    <w:rsid w:val="00F767AD"/>
    <w:rsid w:val="00F7746B"/>
    <w:rsid w:val="00F839BD"/>
    <w:rsid w:val="00F84C4C"/>
    <w:rsid w:val="00F859D8"/>
    <w:rsid w:val="00F9038C"/>
    <w:rsid w:val="00F905A8"/>
    <w:rsid w:val="00F9122F"/>
    <w:rsid w:val="00F945A4"/>
    <w:rsid w:val="00F9567A"/>
    <w:rsid w:val="00F966F6"/>
    <w:rsid w:val="00FA0135"/>
    <w:rsid w:val="00FA13FB"/>
    <w:rsid w:val="00FA1AC5"/>
    <w:rsid w:val="00FA3149"/>
    <w:rsid w:val="00FB27D3"/>
    <w:rsid w:val="00FB31AE"/>
    <w:rsid w:val="00FB3888"/>
    <w:rsid w:val="00FB6174"/>
    <w:rsid w:val="00FC11EE"/>
    <w:rsid w:val="00FC4588"/>
    <w:rsid w:val="00FC4633"/>
    <w:rsid w:val="00FC7B84"/>
    <w:rsid w:val="00FC7E4B"/>
    <w:rsid w:val="00FD0E4D"/>
    <w:rsid w:val="00FD2707"/>
    <w:rsid w:val="00FD41BC"/>
    <w:rsid w:val="00FD46B4"/>
    <w:rsid w:val="00FD4924"/>
    <w:rsid w:val="00FD5DF4"/>
    <w:rsid w:val="00FD721F"/>
    <w:rsid w:val="00FE21B9"/>
    <w:rsid w:val="00FE258F"/>
    <w:rsid w:val="00FE4E11"/>
    <w:rsid w:val="00FE5B0F"/>
    <w:rsid w:val="00FE5DF3"/>
    <w:rsid w:val="00FE6A52"/>
    <w:rsid w:val="00FE7C21"/>
    <w:rsid w:val="00FF2CA4"/>
    <w:rsid w:val="00FF6730"/>
    <w:rsid w:val="00FF6D54"/>
    <w:rsid w:val="00FF713C"/>
    <w:rsid w:val="02926A6C"/>
    <w:rsid w:val="02A96604"/>
    <w:rsid w:val="03354DFC"/>
    <w:rsid w:val="03A9665F"/>
    <w:rsid w:val="046A4CED"/>
    <w:rsid w:val="04AF4066"/>
    <w:rsid w:val="09090ED4"/>
    <w:rsid w:val="0B3F24E9"/>
    <w:rsid w:val="0B697AEA"/>
    <w:rsid w:val="0C046702"/>
    <w:rsid w:val="0C5F1972"/>
    <w:rsid w:val="0CDD13F7"/>
    <w:rsid w:val="0DA12B32"/>
    <w:rsid w:val="0EDD6CA2"/>
    <w:rsid w:val="10AA18B9"/>
    <w:rsid w:val="131640E4"/>
    <w:rsid w:val="14BA651C"/>
    <w:rsid w:val="15462685"/>
    <w:rsid w:val="1559140D"/>
    <w:rsid w:val="16E22E8B"/>
    <w:rsid w:val="170B24DC"/>
    <w:rsid w:val="1756697B"/>
    <w:rsid w:val="17696FEC"/>
    <w:rsid w:val="176A20BE"/>
    <w:rsid w:val="180F57B3"/>
    <w:rsid w:val="19DA4098"/>
    <w:rsid w:val="1B6E7086"/>
    <w:rsid w:val="1D7D0D89"/>
    <w:rsid w:val="1E741B86"/>
    <w:rsid w:val="1EE81134"/>
    <w:rsid w:val="20526511"/>
    <w:rsid w:val="20B15CE9"/>
    <w:rsid w:val="227F77FD"/>
    <w:rsid w:val="245E482F"/>
    <w:rsid w:val="26257FBC"/>
    <w:rsid w:val="287A78C9"/>
    <w:rsid w:val="2A8039F7"/>
    <w:rsid w:val="2AD14170"/>
    <w:rsid w:val="2DC40D01"/>
    <w:rsid w:val="2DFE5FEB"/>
    <w:rsid w:val="2E414913"/>
    <w:rsid w:val="2F1269F6"/>
    <w:rsid w:val="35654DAD"/>
    <w:rsid w:val="357B09E0"/>
    <w:rsid w:val="360D5215"/>
    <w:rsid w:val="38127615"/>
    <w:rsid w:val="3A827346"/>
    <w:rsid w:val="3A963029"/>
    <w:rsid w:val="3ACA3218"/>
    <w:rsid w:val="3B5F10F2"/>
    <w:rsid w:val="3BA201B8"/>
    <w:rsid w:val="3C4643C4"/>
    <w:rsid w:val="3E351ECB"/>
    <w:rsid w:val="3FBF3A6C"/>
    <w:rsid w:val="409C39D1"/>
    <w:rsid w:val="41351B73"/>
    <w:rsid w:val="425449F7"/>
    <w:rsid w:val="42EC6B27"/>
    <w:rsid w:val="476706E5"/>
    <w:rsid w:val="48294374"/>
    <w:rsid w:val="492857AB"/>
    <w:rsid w:val="49307273"/>
    <w:rsid w:val="4A4F6940"/>
    <w:rsid w:val="4D71660C"/>
    <w:rsid w:val="4DB97944"/>
    <w:rsid w:val="4FD65BDF"/>
    <w:rsid w:val="508A1B5B"/>
    <w:rsid w:val="51582C51"/>
    <w:rsid w:val="534C6E1D"/>
    <w:rsid w:val="53D77A6E"/>
    <w:rsid w:val="54BE3B08"/>
    <w:rsid w:val="54C94855"/>
    <w:rsid w:val="560A6851"/>
    <w:rsid w:val="5A692381"/>
    <w:rsid w:val="5D614E8E"/>
    <w:rsid w:val="5E0A435A"/>
    <w:rsid w:val="5F4A1CEA"/>
    <w:rsid w:val="65D143FB"/>
    <w:rsid w:val="66254B5F"/>
    <w:rsid w:val="66EB4E22"/>
    <w:rsid w:val="67B544F6"/>
    <w:rsid w:val="67BA2636"/>
    <w:rsid w:val="69CC0932"/>
    <w:rsid w:val="6CAB56E2"/>
    <w:rsid w:val="6D28600C"/>
    <w:rsid w:val="6EC7794C"/>
    <w:rsid w:val="6FF72835"/>
    <w:rsid w:val="70AD09FE"/>
    <w:rsid w:val="713452C5"/>
    <w:rsid w:val="743765D0"/>
    <w:rsid w:val="74B23C2C"/>
    <w:rsid w:val="74CE0FB2"/>
    <w:rsid w:val="752D3FEC"/>
    <w:rsid w:val="75774FEC"/>
    <w:rsid w:val="76EE78FC"/>
    <w:rsid w:val="78BC1EAE"/>
    <w:rsid w:val="79147D97"/>
    <w:rsid w:val="79162389"/>
    <w:rsid w:val="7A2826A1"/>
    <w:rsid w:val="7A7759D5"/>
    <w:rsid w:val="7BB02AD8"/>
    <w:rsid w:val="7D6F70BE"/>
    <w:rsid w:val="7D985003"/>
    <w:rsid w:val="7DCA2062"/>
    <w:rsid w:val="7DD23BD6"/>
    <w:rsid w:val="7DED2B96"/>
    <w:rsid w:val="7ED15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qFormat="1" w:unhideWhenUsed="0" w:uiPriority="0" w:semiHidden="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numPr>
        <w:ilvl w:val="0"/>
        <w:numId w:val="1"/>
      </w:numPr>
      <w:spacing w:before="156" w:beforeLines="50" w:after="156" w:afterLines="50" w:line="240" w:lineRule="auto"/>
      <w:jc w:val="left"/>
      <w:outlineLvl w:val="0"/>
    </w:pPr>
    <w:rPr>
      <w:rFonts w:eastAsia="黑体"/>
      <w:bCs/>
      <w:kern w:val="44"/>
      <w:sz w:val="36"/>
      <w:szCs w:val="36"/>
    </w:rPr>
  </w:style>
  <w:style w:type="paragraph" w:styleId="3">
    <w:name w:val="heading 2"/>
    <w:basedOn w:val="1"/>
    <w:next w:val="1"/>
    <w:qFormat/>
    <w:uiPriority w:val="0"/>
    <w:pPr>
      <w:keepNext/>
      <w:keepLines/>
      <w:numPr>
        <w:ilvl w:val="1"/>
        <w:numId w:val="1"/>
      </w:numPr>
      <w:spacing w:before="156" w:beforeLines="50" w:after="156" w:afterLines="50" w:line="240" w:lineRule="auto"/>
      <w:jc w:val="left"/>
      <w:outlineLvl w:val="1"/>
    </w:pPr>
    <w:rPr>
      <w:rFonts w:eastAsia="黑体"/>
      <w:bCs/>
      <w:sz w:val="28"/>
    </w:rPr>
  </w:style>
  <w:style w:type="paragraph" w:styleId="4">
    <w:name w:val="heading 3"/>
    <w:basedOn w:val="1"/>
    <w:next w:val="1"/>
    <w:qFormat/>
    <w:uiPriority w:val="0"/>
    <w:pPr>
      <w:keepNext/>
      <w:keepLines/>
      <w:widowControl/>
      <w:numPr>
        <w:ilvl w:val="2"/>
        <w:numId w:val="1"/>
      </w:numPr>
      <w:autoSpaceDE w:val="0"/>
      <w:autoSpaceDN w:val="0"/>
      <w:spacing w:before="240" w:after="240" w:line="240" w:lineRule="auto"/>
      <w:ind w:left="720" w:hanging="720"/>
      <w:jc w:val="left"/>
      <w:outlineLvl w:val="2"/>
    </w:pPr>
    <w:rPr>
      <w:rFonts w:ascii="宋体" w:hAnsi="宋体"/>
      <w:b/>
      <w:bCs/>
      <w:kern w:val="0"/>
      <w:lang w:val="en-GB"/>
    </w:rPr>
  </w:style>
  <w:style w:type="paragraph" w:styleId="5">
    <w:name w:val="heading 4"/>
    <w:basedOn w:val="1"/>
    <w:next w:val="1"/>
    <w:qFormat/>
    <w:uiPriority w:val="0"/>
    <w:pPr>
      <w:keepNext/>
      <w:keepLines/>
      <w:spacing w:before="280" w:after="290" w:line="376" w:lineRule="auto"/>
      <w:outlineLvl w:val="3"/>
    </w:pPr>
    <w:rPr>
      <w:rFonts w:ascii="Arial" w:hAnsi="Arial" w:eastAsia="黑体"/>
      <w:bCs/>
      <w:szCs w:val="28"/>
    </w:rPr>
  </w:style>
  <w:style w:type="paragraph" w:styleId="6">
    <w:name w:val="heading 5"/>
    <w:basedOn w:val="1"/>
    <w:next w:val="1"/>
    <w:qFormat/>
    <w:uiPriority w:val="0"/>
    <w:pPr>
      <w:keepNext/>
      <w:keepLines/>
      <w:spacing w:before="280" w:after="290" w:line="376" w:lineRule="auto"/>
      <w:outlineLvl w:val="4"/>
    </w:pPr>
    <w:rPr>
      <w:rFonts w:eastAsia="黑体"/>
      <w:bCs/>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rPr>
  </w:style>
  <w:style w:type="paragraph" w:styleId="8">
    <w:name w:val="heading 7"/>
    <w:basedOn w:val="1"/>
    <w:next w:val="1"/>
    <w:qFormat/>
    <w:uiPriority w:val="0"/>
    <w:pPr>
      <w:keepNext/>
      <w:keepLines/>
      <w:spacing w:before="240" w:after="64" w:line="320" w:lineRule="auto"/>
      <w:outlineLvl w:val="6"/>
    </w:pPr>
    <w:rPr>
      <w:b/>
      <w:bCs/>
    </w:rPr>
  </w:style>
  <w:style w:type="paragraph" w:styleId="9">
    <w:name w:val="heading 8"/>
    <w:basedOn w:val="1"/>
    <w:next w:val="1"/>
    <w:qFormat/>
    <w:uiPriority w:val="0"/>
    <w:pPr>
      <w:keepNext/>
      <w:keepLines/>
      <w:spacing w:before="240" w:after="64" w:line="320" w:lineRule="auto"/>
      <w:outlineLvl w:val="7"/>
    </w:pPr>
    <w:rPr>
      <w:rFonts w:ascii="Arial" w:hAnsi="Arial" w:eastAsia="黑体"/>
    </w:rPr>
  </w:style>
  <w:style w:type="paragraph" w:styleId="10">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2">
    <w:name w:val="Default Paragraph Font"/>
    <w:unhideWhenUsed/>
    <w:qFormat/>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semiHidden/>
    <w:qFormat/>
    <w:uiPriority w:val="0"/>
    <w:rPr>
      <w:b/>
      <w:bCs/>
    </w:rPr>
  </w:style>
  <w:style w:type="paragraph" w:styleId="12">
    <w:name w:val="annotation text"/>
    <w:basedOn w:val="1"/>
    <w:semiHidden/>
    <w:qFormat/>
    <w:uiPriority w:val="0"/>
    <w:pPr>
      <w:jc w:val="left"/>
    </w:pPr>
  </w:style>
  <w:style w:type="paragraph" w:styleId="13">
    <w:name w:val="Normal Indent"/>
    <w:basedOn w:val="1"/>
    <w:qFormat/>
    <w:uiPriority w:val="99"/>
    <w:pPr>
      <w:autoSpaceDE w:val="0"/>
      <w:autoSpaceDN w:val="0"/>
      <w:adjustRightInd w:val="0"/>
      <w:spacing w:after="120"/>
      <w:ind w:firstLine="420" w:firstLineChars="200"/>
      <w:jc w:val="left"/>
    </w:pPr>
    <w:rPr>
      <w:kern w:val="0"/>
      <w:szCs w:val="20"/>
    </w:rPr>
  </w:style>
  <w:style w:type="paragraph" w:styleId="14">
    <w:name w:val="caption"/>
    <w:basedOn w:val="1"/>
    <w:next w:val="1"/>
    <w:unhideWhenUsed/>
    <w:qFormat/>
    <w:uiPriority w:val="0"/>
    <w:pPr>
      <w:autoSpaceDE w:val="0"/>
      <w:autoSpaceDN w:val="0"/>
      <w:adjustRightInd w:val="0"/>
      <w:spacing w:after="120"/>
      <w:jc w:val="left"/>
    </w:pPr>
    <w:rPr>
      <w:rFonts w:ascii="Cambria" w:hAnsi="Cambria" w:eastAsia="黑体"/>
      <w:kern w:val="0"/>
      <w:sz w:val="20"/>
      <w:szCs w:val="20"/>
    </w:rPr>
  </w:style>
  <w:style w:type="paragraph" w:styleId="15">
    <w:name w:val="Document Map"/>
    <w:basedOn w:val="1"/>
    <w:semiHidden/>
    <w:qFormat/>
    <w:uiPriority w:val="0"/>
    <w:pPr>
      <w:shd w:val="clear" w:color="auto" w:fill="000080"/>
    </w:pPr>
  </w:style>
  <w:style w:type="paragraph" w:styleId="16">
    <w:name w:val="toc 3"/>
    <w:basedOn w:val="1"/>
    <w:next w:val="1"/>
    <w:qFormat/>
    <w:uiPriority w:val="39"/>
    <w:pPr>
      <w:ind w:left="840" w:leftChars="400"/>
    </w:pPr>
  </w:style>
  <w:style w:type="paragraph" w:styleId="17">
    <w:name w:val="Balloon Text"/>
    <w:basedOn w:val="1"/>
    <w:semiHidden/>
    <w:qFormat/>
    <w:uiPriority w:val="0"/>
    <w:rPr>
      <w:sz w:val="18"/>
      <w:szCs w:val="18"/>
    </w:rPr>
  </w:style>
  <w:style w:type="paragraph" w:styleId="18">
    <w:name w:val="footer"/>
    <w:basedOn w:val="1"/>
    <w:link w:val="55"/>
    <w:qFormat/>
    <w:uiPriority w:val="99"/>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left" w:pos="420"/>
        <w:tab w:val="right" w:leader="dot" w:pos="8302"/>
      </w:tabs>
    </w:pPr>
    <w:rPr>
      <w:rFonts w:ascii="黑体" w:hAnsi="黑体" w:eastAsia="黑体"/>
      <w:sz w:val="28"/>
      <w:szCs w:val="28"/>
    </w:rPr>
  </w:style>
  <w:style w:type="paragraph" w:styleId="21">
    <w:name w:val="toc 2"/>
    <w:basedOn w:val="1"/>
    <w:next w:val="1"/>
    <w:qFormat/>
    <w:uiPriority w:val="39"/>
    <w:pPr>
      <w:tabs>
        <w:tab w:val="left" w:pos="1050"/>
        <w:tab w:val="right" w:leader="dot" w:pos="8302"/>
      </w:tabs>
      <w:spacing w:line="240" w:lineRule="auto"/>
      <w:ind w:left="480" w:leftChars="200"/>
    </w:pPr>
  </w:style>
  <w:style w:type="character" w:styleId="23">
    <w:name w:val="page number"/>
    <w:basedOn w:val="22"/>
    <w:qFormat/>
    <w:uiPriority w:val="0"/>
  </w:style>
  <w:style w:type="character" w:styleId="24">
    <w:name w:val="FollowedHyperlink"/>
    <w:qFormat/>
    <w:uiPriority w:val="0"/>
    <w:rPr>
      <w:color w:val="954F72"/>
      <w:u w:val="single"/>
    </w:rPr>
  </w:style>
  <w:style w:type="character" w:styleId="25">
    <w:name w:val="Hyperlink"/>
    <w:qFormat/>
    <w:uiPriority w:val="99"/>
    <w:rPr>
      <w:color w:val="0000FF"/>
      <w:u w:val="single"/>
    </w:rPr>
  </w:style>
  <w:style w:type="character" w:styleId="26">
    <w:name w:val="annotation reference"/>
    <w:semiHidden/>
    <w:qFormat/>
    <w:uiPriority w:val="0"/>
    <w:rPr>
      <w:sz w:val="21"/>
      <w:szCs w:val="21"/>
    </w:rPr>
  </w:style>
  <w:style w:type="table" w:styleId="28">
    <w:name w:val="Table Grid"/>
    <w:basedOn w:val="2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29">
    <w:name w:val="Table Classic 2"/>
    <w:basedOn w:val="27"/>
    <w:qFormat/>
    <w:uiPriority w:val="0"/>
    <w:pPr>
      <w:widowControl w:val="0"/>
      <w:jc w:val="both"/>
    </w:pPr>
    <w:tblPr>
      <w:tblBorders>
        <w:top w:val="single" w:color="000000" w:sz="12" w:space="0"/>
        <w:bottom w:val="single" w:color="000000" w:sz="12" w:space="0"/>
      </w:tblBorders>
      <w:tblLayout w:type="fixed"/>
    </w:tblPr>
    <w:tcPr>
      <w:shd w:val="clear" w:color="auto" w:fill="auto"/>
    </w:tcPr>
    <w:tblStylePr w:type="firstRow">
      <w:rPr>
        <w:color w:val="FFFFFF"/>
      </w:rPr>
      <w:tblPr>
        <w:tblLayout w:type="fixed"/>
      </w:tblPr>
      <w:tcPr>
        <w:tcBorders>
          <w:bottom w:val="single" w:color="000000" w:sz="6" w:space="0"/>
          <w:tl2br w:val="nil"/>
          <w:tr2bl w:val="nil"/>
        </w:tcBorders>
        <w:shd w:val="solid" w:color="800080" w:fill="FFFFFF"/>
      </w:tcPr>
    </w:tblStylePr>
    <w:tblStylePr w:type="lastRow">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shd w:val="solid" w:color="C0C0C0" w:fill="FFFFFF"/>
      </w:tcPr>
    </w:tblStylePr>
    <w:tblStylePr w:type="neCell">
      <w:rPr>
        <w:b/>
        <w:bCs/>
      </w:rPr>
      <w:tblPr>
        <w:tblLayout w:type="fixed"/>
      </w:tblPr>
      <w:tcPr>
        <w:tcBorders>
          <w:tl2br w:val="nil"/>
          <w:tr2bl w:val="nil"/>
        </w:tcBorders>
      </w:tcPr>
    </w:tblStylePr>
    <w:tblStylePr w:type="nwCell">
      <w:tblPr>
        <w:tblLayout w:type="fixed"/>
      </w:tblPr>
      <w:tcPr>
        <w:tcBorders>
          <w:tl2br w:val="nil"/>
          <w:tr2bl w:val="nil"/>
        </w:tcBorders>
        <w:shd w:val="solid" w:color="800080" w:fill="FFFFFF"/>
      </w:tcPr>
    </w:tblStylePr>
    <w:tblStylePr w:type="swCell">
      <w:rPr>
        <w:color w:val="000080"/>
      </w:rPr>
      <w:tblPr>
        <w:tblLayout w:type="fixed"/>
      </w:tblPr>
      <w:tcPr>
        <w:tcBorders>
          <w:tl2br w:val="nil"/>
          <w:tr2bl w:val="nil"/>
        </w:tcBorders>
      </w:tcPr>
    </w:tblStylePr>
  </w:style>
  <w:style w:type="table" w:styleId="30">
    <w:name w:val="Table Professional"/>
    <w:basedOn w:val="2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paragraph" w:customStyle="1" w:styleId="31">
    <w:name w:val="目录 11"/>
    <w:basedOn w:val="1"/>
    <w:next w:val="1"/>
    <w:qFormat/>
    <w:uiPriority w:val="39"/>
    <w:pPr>
      <w:spacing w:before="120" w:after="120"/>
      <w:jc w:val="left"/>
    </w:pPr>
    <w:rPr>
      <w:rFonts w:eastAsia="黑体"/>
      <w:bCs/>
      <w:caps/>
      <w:sz w:val="28"/>
      <w:szCs w:val="20"/>
    </w:rPr>
  </w:style>
  <w:style w:type="paragraph" w:customStyle="1" w:styleId="32">
    <w:name w:val="目录 21"/>
    <w:basedOn w:val="1"/>
    <w:next w:val="1"/>
    <w:qFormat/>
    <w:uiPriority w:val="39"/>
    <w:pPr>
      <w:ind w:left="210"/>
      <w:jc w:val="left"/>
    </w:pPr>
    <w:rPr>
      <w:smallCaps/>
      <w:szCs w:val="20"/>
    </w:rPr>
  </w:style>
  <w:style w:type="paragraph" w:customStyle="1" w:styleId="33">
    <w:name w:val="目录 31"/>
    <w:basedOn w:val="1"/>
    <w:next w:val="1"/>
    <w:qFormat/>
    <w:uiPriority w:val="39"/>
    <w:pPr>
      <w:ind w:left="420"/>
      <w:jc w:val="left"/>
    </w:pPr>
    <w:rPr>
      <w:iCs/>
      <w:szCs w:val="20"/>
    </w:rPr>
  </w:style>
  <w:style w:type="paragraph" w:customStyle="1" w:styleId="34">
    <w:name w:val="目录 41"/>
    <w:basedOn w:val="1"/>
    <w:next w:val="1"/>
    <w:semiHidden/>
    <w:qFormat/>
    <w:uiPriority w:val="0"/>
    <w:pPr>
      <w:ind w:left="630"/>
      <w:jc w:val="left"/>
    </w:pPr>
    <w:rPr>
      <w:sz w:val="18"/>
      <w:szCs w:val="18"/>
    </w:rPr>
  </w:style>
  <w:style w:type="paragraph" w:customStyle="1" w:styleId="35">
    <w:name w:val="目录 51"/>
    <w:basedOn w:val="1"/>
    <w:next w:val="1"/>
    <w:semiHidden/>
    <w:qFormat/>
    <w:uiPriority w:val="0"/>
    <w:pPr>
      <w:ind w:left="840"/>
      <w:jc w:val="left"/>
    </w:pPr>
    <w:rPr>
      <w:sz w:val="18"/>
      <w:szCs w:val="18"/>
    </w:rPr>
  </w:style>
  <w:style w:type="paragraph" w:customStyle="1" w:styleId="36">
    <w:name w:val="目录 61"/>
    <w:basedOn w:val="1"/>
    <w:next w:val="1"/>
    <w:semiHidden/>
    <w:qFormat/>
    <w:uiPriority w:val="0"/>
    <w:pPr>
      <w:ind w:left="1050"/>
      <w:jc w:val="left"/>
    </w:pPr>
    <w:rPr>
      <w:sz w:val="18"/>
      <w:szCs w:val="18"/>
    </w:rPr>
  </w:style>
  <w:style w:type="paragraph" w:customStyle="1" w:styleId="37">
    <w:name w:val="目录 71"/>
    <w:basedOn w:val="1"/>
    <w:next w:val="1"/>
    <w:semiHidden/>
    <w:qFormat/>
    <w:uiPriority w:val="0"/>
    <w:pPr>
      <w:ind w:left="1260"/>
      <w:jc w:val="left"/>
    </w:pPr>
    <w:rPr>
      <w:sz w:val="18"/>
      <w:szCs w:val="18"/>
    </w:rPr>
  </w:style>
  <w:style w:type="paragraph" w:customStyle="1" w:styleId="38">
    <w:name w:val="目录 81"/>
    <w:basedOn w:val="1"/>
    <w:next w:val="1"/>
    <w:semiHidden/>
    <w:qFormat/>
    <w:uiPriority w:val="0"/>
    <w:pPr>
      <w:ind w:left="1470"/>
      <w:jc w:val="left"/>
    </w:pPr>
    <w:rPr>
      <w:sz w:val="18"/>
      <w:szCs w:val="18"/>
    </w:rPr>
  </w:style>
  <w:style w:type="paragraph" w:customStyle="1" w:styleId="39">
    <w:name w:val="目录 91"/>
    <w:basedOn w:val="1"/>
    <w:next w:val="1"/>
    <w:semiHidden/>
    <w:qFormat/>
    <w:uiPriority w:val="0"/>
    <w:pPr>
      <w:ind w:left="1680"/>
      <w:jc w:val="left"/>
    </w:pPr>
    <w:rPr>
      <w:sz w:val="18"/>
      <w:szCs w:val="18"/>
    </w:rPr>
  </w:style>
  <w:style w:type="paragraph" w:customStyle="1" w:styleId="40">
    <w:name w:val="表格正文"/>
    <w:basedOn w:val="1"/>
    <w:link w:val="44"/>
    <w:qFormat/>
    <w:uiPriority w:val="0"/>
    <w:pPr>
      <w:widowControl/>
      <w:overflowPunct w:val="0"/>
      <w:autoSpaceDE w:val="0"/>
      <w:autoSpaceDN w:val="0"/>
      <w:adjustRightInd w:val="0"/>
      <w:spacing w:before="60" w:after="60"/>
      <w:jc w:val="left"/>
      <w:textAlignment w:val="baseline"/>
    </w:pPr>
    <w:rPr>
      <w:rFonts w:ascii="Tahoma" w:hAnsi="Tahoma"/>
      <w:kern w:val="0"/>
      <w:szCs w:val="20"/>
    </w:rPr>
  </w:style>
  <w:style w:type="paragraph" w:customStyle="1" w:styleId="41">
    <w:name w:val="表格栏头"/>
    <w:basedOn w:val="40"/>
    <w:next w:val="40"/>
    <w:qFormat/>
    <w:uiPriority w:val="0"/>
    <w:rPr>
      <w:b/>
    </w:rPr>
  </w:style>
  <w:style w:type="paragraph" w:customStyle="1" w:styleId="42">
    <w:name w:val="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3">
    <w:name w:val="Char Char Char Char Char Char Char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character" w:customStyle="1" w:styleId="44">
    <w:name w:val="表格正文 Char"/>
    <w:link w:val="40"/>
    <w:qFormat/>
    <w:uiPriority w:val="0"/>
    <w:rPr>
      <w:rFonts w:ascii="Tahoma" w:hAnsi="Tahoma" w:eastAsia="宋体"/>
      <w:sz w:val="24"/>
      <w:lang w:val="en-US" w:eastAsia="zh-CN" w:bidi="ar-SA"/>
    </w:rPr>
  </w:style>
  <w:style w:type="table" w:customStyle="1" w:styleId="45">
    <w:name w:val="网格表 4 - 着色 11"/>
    <w:basedOn w:val="27"/>
    <w:qFormat/>
    <w:uiPriority w:val="49"/>
    <w:rPr>
      <w:rFonts w:ascii="Calibri" w:hAnsi="Calibri"/>
      <w:sz w:val="22"/>
      <w:szCs w:val="22"/>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paragraph" w:customStyle="1" w:styleId="46">
    <w:name w:val="列出段落1"/>
    <w:basedOn w:val="1"/>
    <w:qFormat/>
    <w:uiPriority w:val="34"/>
    <w:pPr>
      <w:ind w:firstLine="420" w:firstLineChars="200"/>
    </w:pPr>
  </w:style>
  <w:style w:type="table" w:customStyle="1" w:styleId="47">
    <w:name w:val="网格型1"/>
    <w:basedOn w:val="2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tcPr>
        <w:shd w:val="clear" w:color="auto" w:fill="BFBFBF"/>
      </w:tcPr>
    </w:tblStylePr>
  </w:style>
  <w:style w:type="paragraph" w:customStyle="1" w:styleId="48">
    <w:name w:val="Char Char Char Char Char Char1 Char"/>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49">
    <w:name w:val="Normal H1"/>
    <w:next w:val="13"/>
    <w:qFormat/>
    <w:uiPriority w:val="0"/>
    <w:pPr>
      <w:tabs>
        <w:tab w:val="left" w:pos="720"/>
        <w:tab w:val="left" w:pos="1117"/>
      </w:tabs>
      <w:spacing w:after="120"/>
      <w:ind w:left="1117" w:hanging="397"/>
      <w:outlineLvl w:val="3"/>
    </w:pPr>
    <w:rPr>
      <w:rFonts w:ascii="Times New Roman" w:hAnsi="Times New Roman" w:eastAsia="宋体" w:cs="Times New Roman"/>
      <w:sz w:val="21"/>
      <w:lang w:val="en-US" w:eastAsia="zh-CN" w:bidi="ar-SA"/>
    </w:rPr>
  </w:style>
  <w:style w:type="paragraph" w:customStyle="1" w:styleId="50">
    <w:name w:val="Write Suggestion"/>
    <w:next w:val="13"/>
    <w:qFormat/>
    <w:uiPriority w:val="0"/>
    <w:pPr>
      <w:spacing w:after="120"/>
      <w:ind w:firstLine="420"/>
    </w:pPr>
    <w:rPr>
      <w:rFonts w:ascii="Times New Roman" w:hAnsi="Times New Roman" w:eastAsia="宋体" w:cs="Times New Roman"/>
      <w:i/>
      <w:color w:val="0000FF"/>
      <w:sz w:val="21"/>
      <w:lang w:val="en-US" w:eastAsia="zh-CN" w:bidi="ar-SA"/>
    </w:rPr>
  </w:style>
  <w:style w:type="paragraph" w:customStyle="1" w:styleId="51">
    <w:name w:val="UseCase 1"/>
    <w:basedOn w:val="1"/>
    <w:qFormat/>
    <w:uiPriority w:val="0"/>
    <w:pPr>
      <w:widowControl/>
      <w:tabs>
        <w:tab w:val="left" w:pos="720"/>
        <w:tab w:val="left" w:pos="1514"/>
      </w:tabs>
      <w:spacing w:after="120"/>
      <w:ind w:left="1514" w:hanging="397"/>
      <w:jc w:val="left"/>
      <w:outlineLvl w:val="7"/>
    </w:pPr>
    <w:rPr>
      <w:kern w:val="0"/>
      <w:szCs w:val="20"/>
    </w:rPr>
  </w:style>
  <w:style w:type="paragraph" w:customStyle="1" w:styleId="52">
    <w:name w:val="Table Heading"/>
    <w:basedOn w:val="53"/>
    <w:qFormat/>
    <w:uiPriority w:val="0"/>
    <w:pPr>
      <w:spacing w:before="120" w:after="120"/>
    </w:pPr>
    <w:rPr>
      <w:b/>
    </w:rPr>
  </w:style>
  <w:style w:type="paragraph" w:customStyle="1" w:styleId="53">
    <w:name w:val="Table Text"/>
    <w:basedOn w:val="1"/>
    <w:qFormat/>
    <w:uiPriority w:val="0"/>
    <w:pPr>
      <w:keepLines/>
      <w:widowControl/>
      <w:overflowPunct w:val="0"/>
      <w:autoSpaceDE w:val="0"/>
      <w:autoSpaceDN w:val="0"/>
      <w:adjustRightInd w:val="0"/>
      <w:spacing w:line="240" w:lineRule="atLeast"/>
      <w:jc w:val="left"/>
      <w:textAlignment w:val="baseline"/>
    </w:pPr>
    <w:rPr>
      <w:rFonts w:ascii="Book Antiqua" w:hAnsi="Book Antiqua"/>
      <w:kern w:val="0"/>
      <w:sz w:val="16"/>
      <w:szCs w:val="20"/>
    </w:rPr>
  </w:style>
  <w:style w:type="paragraph" w:customStyle="1" w:styleId="54">
    <w:name w:val="Document Title"/>
    <w:basedOn w:val="1"/>
    <w:next w:val="1"/>
    <w:qFormat/>
    <w:uiPriority w:val="0"/>
    <w:pPr>
      <w:autoSpaceDE w:val="0"/>
      <w:autoSpaceDN w:val="0"/>
      <w:adjustRightInd w:val="0"/>
      <w:spacing w:after="120"/>
      <w:jc w:val="center"/>
    </w:pPr>
    <w:rPr>
      <w:rFonts w:ascii="Arial" w:hAnsi="Arial" w:eastAsia="黑体"/>
      <w:bCs/>
      <w:kern w:val="0"/>
      <w:sz w:val="32"/>
      <w:szCs w:val="32"/>
    </w:rPr>
  </w:style>
  <w:style w:type="character" w:customStyle="1" w:styleId="55">
    <w:name w:val="页脚 字符"/>
    <w:link w:val="18"/>
    <w:qFormat/>
    <w:uiPriority w:val="99"/>
    <w:rPr>
      <w:kern w:val="2"/>
      <w:sz w:val="18"/>
      <w:szCs w:val="18"/>
    </w:rPr>
  </w:style>
  <w:style w:type="paragraph" w:customStyle="1" w:styleId="56">
    <w:name w:val="阿里 正文 [Alt+0+M]"/>
    <w:link w:val="57"/>
    <w:qFormat/>
    <w:uiPriority w:val="0"/>
    <w:pPr>
      <w:spacing w:after="100" w:afterAutospacing="1"/>
    </w:pPr>
    <w:rPr>
      <w:rFonts w:ascii="Arial" w:hAnsi="Arial" w:eastAsia="宋体" w:cs="Arial"/>
      <w:kern w:val="28"/>
      <w:sz w:val="22"/>
      <w:szCs w:val="22"/>
      <w:lang w:val="en-US" w:eastAsia="de-DE" w:bidi="ar-SA"/>
    </w:rPr>
  </w:style>
  <w:style w:type="character" w:customStyle="1" w:styleId="57">
    <w:name w:val="阿里 正文 [Alt+0+M] Char"/>
    <w:link w:val="56"/>
    <w:qFormat/>
    <w:uiPriority w:val="0"/>
    <w:rPr>
      <w:rFonts w:ascii="Arial" w:hAnsi="Arial" w:cs="Arial"/>
      <w:kern w:val="28"/>
      <w:sz w:val="22"/>
      <w:szCs w:val="22"/>
      <w:lang w:eastAsia="de-DE"/>
    </w:rPr>
  </w:style>
  <w:style w:type="table" w:customStyle="1" w:styleId="58">
    <w:name w:val="网格表 4 - 着色 51"/>
    <w:basedOn w:val="27"/>
    <w:qFormat/>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paragraph" w:customStyle="1" w:styleId="59">
    <w:name w:val="列出段落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4F149-D1F0-4467-A386-C6390C39B516}">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25</Pages>
  <Words>850</Words>
  <Characters>4851</Characters>
  <Lines>40</Lines>
  <Paragraphs>11</Paragraphs>
  <ScaleCrop>false</ScaleCrop>
  <LinksUpToDate>false</LinksUpToDate>
  <CharactersWithSpaces>5690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2020-10-30T01:20:00Z</dcterms:created>
  <dc:creator>niewt</dc:creator>
  <cp:lastModifiedBy>f</cp:lastModifiedBy>
  <cp:lastPrinted>2021-01-13T01:17:00Z</cp:lastPrinted>
  <dcterms:modified xsi:type="dcterms:W3CDTF">2021-02-19T03:16:21Z</dcterms:modified>
  <dc:title>word文档规范</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